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70" w:rsidRPr="006F072B" w:rsidRDefault="00551670"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b/>
          <w:sz w:val="24"/>
          <w:szCs w:val="24"/>
        </w:rPr>
      </w:pPr>
      <w:r w:rsidRPr="006F072B">
        <w:rPr>
          <w:rFonts w:ascii="Century Gothic" w:hAnsi="Century Gothic"/>
          <w:b/>
          <w:sz w:val="24"/>
          <w:szCs w:val="24"/>
        </w:rPr>
        <w:t>Using this guide</w:t>
      </w:r>
    </w:p>
    <w:p w:rsidR="00551670" w:rsidRPr="006F072B" w:rsidRDefault="00551670"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sz w:val="24"/>
          <w:szCs w:val="24"/>
        </w:rPr>
      </w:pPr>
      <w:r w:rsidRPr="006F072B">
        <w:rPr>
          <w:rFonts w:ascii="Century Gothic" w:hAnsi="Century Gothic"/>
          <w:sz w:val="24"/>
          <w:szCs w:val="24"/>
        </w:rPr>
        <w:t>This guide accompanies the National Treasury’s Strategic Procurement Framework</w:t>
      </w:r>
      <w:r w:rsidR="00452D71" w:rsidRPr="006F072B">
        <w:rPr>
          <w:rFonts w:ascii="Century Gothic" w:hAnsi="Century Gothic"/>
          <w:sz w:val="24"/>
          <w:szCs w:val="24"/>
        </w:rPr>
        <w:t xml:space="preserve"> (SPF)</w:t>
      </w:r>
      <w:r w:rsidRPr="006F072B">
        <w:rPr>
          <w:rFonts w:ascii="Century Gothic" w:hAnsi="Century Gothic"/>
          <w:sz w:val="24"/>
          <w:szCs w:val="24"/>
        </w:rPr>
        <w:t xml:space="preserve"> for Strategic Sourcing in the Public Sector.  For more information, visit the National Treasury website at </w:t>
      </w:r>
      <w:hyperlink r:id="rId7" w:history="1">
        <w:r w:rsidR="00E07AF1">
          <w:rPr>
            <w:rStyle w:val="Hyperlink"/>
            <w:rFonts w:ascii="Century Gothic" w:hAnsi="Century Gothic"/>
            <w:sz w:val="24"/>
            <w:szCs w:val="24"/>
          </w:rPr>
          <w:t>http://ocpo.treasury.gov.za/</w:t>
        </w:r>
      </w:hyperlink>
    </w:p>
    <w:p w:rsidR="00452D71" w:rsidRPr="006F072B" w:rsidRDefault="00452D71" w:rsidP="0055167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Century Gothic" w:hAnsi="Century Gothic"/>
          <w:sz w:val="24"/>
          <w:szCs w:val="24"/>
        </w:rPr>
      </w:pPr>
    </w:p>
    <w:p w:rsidR="00551670" w:rsidRPr="006F072B" w:rsidRDefault="00CB484F" w:rsidP="00D95BF8">
      <w:pPr>
        <w:pStyle w:val="Heading1"/>
        <w:pageBreakBefore w:val="0"/>
        <w:spacing w:before="240" w:after="240"/>
        <w:ind w:left="431" w:hanging="431"/>
        <w:jc w:val="left"/>
        <w:rPr>
          <w:rFonts w:ascii="Century Gothic" w:hAnsi="Century Gothic"/>
          <w:noProof/>
          <w:szCs w:val="24"/>
          <w:lang w:eastAsia="en-ZA"/>
        </w:rPr>
      </w:pPr>
      <w:r>
        <w:rPr>
          <w:rFonts w:ascii="Century Gothic" w:hAnsi="Century Gothic"/>
          <w:noProof/>
          <w:szCs w:val="24"/>
          <w:lang w:eastAsia="en-ZA"/>
        </w:rPr>
        <w:t>T</w:t>
      </w:r>
      <w:r w:rsidR="00E07AF1">
        <w:rPr>
          <w:rFonts w:ascii="Century Gothic" w:hAnsi="Century Gothic"/>
          <w:noProof/>
          <w:szCs w:val="24"/>
          <w:lang w:eastAsia="en-ZA"/>
        </w:rPr>
        <w:t xml:space="preserve">OTAL </w:t>
      </w:r>
      <w:r>
        <w:rPr>
          <w:rFonts w:ascii="Century Gothic" w:hAnsi="Century Gothic"/>
          <w:noProof/>
          <w:szCs w:val="24"/>
          <w:lang w:eastAsia="en-ZA"/>
        </w:rPr>
        <w:t>CO</w:t>
      </w:r>
      <w:r w:rsidR="00E07AF1">
        <w:rPr>
          <w:rFonts w:ascii="Century Gothic" w:hAnsi="Century Gothic"/>
          <w:noProof/>
          <w:szCs w:val="24"/>
          <w:lang w:eastAsia="en-ZA"/>
        </w:rPr>
        <w:t>ST OF OWNERSHIP (TCO)</w:t>
      </w:r>
      <w:r w:rsidR="00644B61">
        <w:rPr>
          <w:rFonts w:ascii="Century Gothic" w:hAnsi="Century Gothic"/>
          <w:noProof/>
          <w:szCs w:val="24"/>
          <w:lang w:eastAsia="en-ZA"/>
        </w:rPr>
        <w:t xml:space="preserve"> </w:t>
      </w:r>
      <w:r w:rsidR="006F072B" w:rsidRPr="006F072B">
        <w:rPr>
          <w:rFonts w:ascii="Century Gothic" w:hAnsi="Century Gothic"/>
          <w:noProof/>
          <w:szCs w:val="24"/>
          <w:lang w:eastAsia="en-ZA"/>
        </w:rPr>
        <w:t xml:space="preserve">ANALYSIS </w:t>
      </w:r>
    </w:p>
    <w:p w:rsidR="00551670" w:rsidRPr="006F072B" w:rsidRDefault="00D95BF8" w:rsidP="00551670">
      <w:pPr>
        <w:pStyle w:val="Heading1"/>
        <w:pageBreakBefore w:val="0"/>
        <w:numPr>
          <w:ilvl w:val="0"/>
          <w:numId w:val="0"/>
        </w:numPr>
        <w:rPr>
          <w:rFonts w:ascii="Century Gothic" w:hAnsi="Century Gothic"/>
          <w:noProof/>
          <w:szCs w:val="24"/>
          <w:lang w:eastAsia="en-ZA"/>
        </w:rPr>
      </w:pPr>
      <w:r>
        <w:rPr>
          <w:rFonts w:ascii="Century Gothic" w:hAnsi="Century Gothic"/>
          <w:noProof/>
          <w:szCs w:val="24"/>
          <w:lang w:eastAsia="en-ZA"/>
        </w:rPr>
        <w:drawing>
          <wp:inline distT="0" distB="0" distL="0" distR="0" wp14:anchorId="7D39EC20">
            <wp:extent cx="5781675" cy="4423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6315" cy="4442120"/>
                    </a:xfrm>
                    <a:prstGeom prst="rect">
                      <a:avLst/>
                    </a:prstGeom>
                    <a:noFill/>
                  </pic:spPr>
                </pic:pic>
              </a:graphicData>
            </a:graphic>
          </wp:inline>
        </w:drawing>
      </w:r>
    </w:p>
    <w:p w:rsidR="00A57DE0" w:rsidRPr="00644B61" w:rsidRDefault="000F0375" w:rsidP="00A57DE0">
      <w:pPr>
        <w:spacing w:line="360" w:lineRule="auto"/>
        <w:jc w:val="both"/>
        <w:rPr>
          <w:rFonts w:ascii="Century Gothic" w:hAnsi="Century Gothic" w:cs="Arial"/>
          <w:sz w:val="24"/>
          <w:szCs w:val="24"/>
          <w:lang w:val="en-US"/>
        </w:rPr>
      </w:pPr>
      <w:r>
        <w:rPr>
          <w:rFonts w:ascii="Century Gothic" w:hAnsi="Century Gothic" w:cs="Arial"/>
          <w:sz w:val="24"/>
          <w:szCs w:val="24"/>
        </w:rPr>
        <w:t>TCO</w:t>
      </w:r>
      <w:r w:rsidR="00BE5227">
        <w:rPr>
          <w:rFonts w:ascii="Century Gothic" w:hAnsi="Century Gothic" w:cs="Arial"/>
          <w:sz w:val="24"/>
          <w:szCs w:val="24"/>
        </w:rPr>
        <w:t xml:space="preserve"> a</w:t>
      </w:r>
      <w:r w:rsidR="00452D71" w:rsidRPr="006F072B">
        <w:rPr>
          <w:rFonts w:ascii="Century Gothic" w:hAnsi="Century Gothic" w:cs="Arial"/>
          <w:sz w:val="24"/>
          <w:szCs w:val="24"/>
        </w:rPr>
        <w:t>nalysis is done during</w:t>
      </w:r>
      <w:r w:rsidR="002B0828">
        <w:rPr>
          <w:rFonts w:ascii="Century Gothic" w:hAnsi="Century Gothic" w:cs="Arial"/>
          <w:sz w:val="24"/>
          <w:szCs w:val="24"/>
        </w:rPr>
        <w:t xml:space="preserve"> Stage </w:t>
      </w:r>
      <w:r>
        <w:rPr>
          <w:rFonts w:ascii="Century Gothic" w:hAnsi="Century Gothic" w:cs="Arial"/>
          <w:sz w:val="24"/>
          <w:szCs w:val="24"/>
        </w:rPr>
        <w:t>4</w:t>
      </w:r>
      <w:r w:rsidR="002B0828">
        <w:rPr>
          <w:rFonts w:ascii="Century Gothic" w:hAnsi="Century Gothic" w:cs="Arial"/>
          <w:sz w:val="24"/>
          <w:szCs w:val="24"/>
        </w:rPr>
        <w:t xml:space="preserve"> of the </w:t>
      </w:r>
      <w:r w:rsidR="00452D71" w:rsidRPr="006F072B">
        <w:rPr>
          <w:rFonts w:ascii="Century Gothic" w:hAnsi="Century Gothic" w:cs="Arial"/>
          <w:sz w:val="24"/>
          <w:szCs w:val="24"/>
        </w:rPr>
        <w:t xml:space="preserve">Sourcing Strategy Development </w:t>
      </w:r>
      <w:r w:rsidR="002B0828">
        <w:rPr>
          <w:rFonts w:ascii="Century Gothic" w:hAnsi="Century Gothic" w:cs="Arial"/>
          <w:sz w:val="24"/>
          <w:szCs w:val="24"/>
        </w:rPr>
        <w:t xml:space="preserve">phase </w:t>
      </w:r>
      <w:r w:rsidR="00452D71" w:rsidRPr="006F072B">
        <w:rPr>
          <w:rFonts w:ascii="Century Gothic" w:hAnsi="Century Gothic" w:cs="Arial"/>
          <w:sz w:val="24"/>
          <w:szCs w:val="24"/>
        </w:rPr>
        <w:t xml:space="preserve">as part of </w:t>
      </w:r>
      <w:r w:rsidR="00584AED">
        <w:rPr>
          <w:rFonts w:ascii="Century Gothic" w:hAnsi="Century Gothic" w:cs="Arial"/>
          <w:sz w:val="24"/>
          <w:szCs w:val="24"/>
        </w:rPr>
        <w:t>evaluating and developing the sourcing approach.</w:t>
      </w:r>
      <w:r w:rsidR="00452D71" w:rsidRPr="006F072B">
        <w:rPr>
          <w:rFonts w:ascii="Century Gothic" w:hAnsi="Century Gothic" w:cs="Arial"/>
          <w:sz w:val="24"/>
          <w:szCs w:val="24"/>
        </w:rPr>
        <w:t xml:space="preserve"> </w:t>
      </w:r>
      <w:r w:rsidR="00A57DE0">
        <w:rPr>
          <w:rFonts w:ascii="Century Gothic" w:hAnsi="Century Gothic" w:cs="Arial"/>
          <w:sz w:val="24"/>
          <w:szCs w:val="24"/>
        </w:rPr>
        <w:t xml:space="preserve"> The objective of TCO analysis is to determine the direct and indirect costs of a product or service over its full life cycle (from procuring, installing, deploying, operating, upgrading, maintaining and disposal).</w:t>
      </w:r>
    </w:p>
    <w:p w:rsidR="00A32C75" w:rsidRPr="009F1FD3" w:rsidRDefault="006F072B" w:rsidP="008748B6">
      <w:pPr>
        <w:pStyle w:val="Heading1"/>
        <w:pageBreakBefore w:val="0"/>
        <w:spacing w:after="240"/>
        <w:ind w:left="431" w:hanging="431"/>
        <w:rPr>
          <w:rFonts w:ascii="Century Gothic" w:hAnsi="Century Gothic"/>
          <w:noProof/>
          <w:szCs w:val="24"/>
          <w:lang w:eastAsia="en-ZA"/>
        </w:rPr>
      </w:pPr>
      <w:r w:rsidRPr="009F1FD3">
        <w:rPr>
          <w:rFonts w:ascii="Century Gothic" w:hAnsi="Century Gothic"/>
          <w:noProof/>
          <w:szCs w:val="24"/>
          <w:lang w:eastAsia="en-ZA"/>
        </w:rPr>
        <w:lastRenderedPageBreak/>
        <w:t xml:space="preserve">WHAT IS </w:t>
      </w:r>
      <w:r w:rsidR="000F0375" w:rsidRPr="009F1FD3">
        <w:rPr>
          <w:rFonts w:ascii="Century Gothic" w:hAnsi="Century Gothic"/>
          <w:noProof/>
          <w:szCs w:val="24"/>
          <w:lang w:eastAsia="en-ZA"/>
        </w:rPr>
        <w:t>T</w:t>
      </w:r>
      <w:r w:rsidR="00A73D52">
        <w:rPr>
          <w:rFonts w:ascii="Century Gothic" w:hAnsi="Century Gothic"/>
          <w:noProof/>
          <w:szCs w:val="24"/>
          <w:lang w:eastAsia="en-ZA"/>
        </w:rPr>
        <w:t xml:space="preserve">OTAL </w:t>
      </w:r>
      <w:r w:rsidR="000F0375" w:rsidRPr="009F1FD3">
        <w:rPr>
          <w:rFonts w:ascii="Century Gothic" w:hAnsi="Century Gothic"/>
          <w:noProof/>
          <w:szCs w:val="24"/>
          <w:lang w:eastAsia="en-ZA"/>
        </w:rPr>
        <w:t>C</w:t>
      </w:r>
      <w:r w:rsidR="00A73D52">
        <w:rPr>
          <w:rFonts w:ascii="Century Gothic" w:hAnsi="Century Gothic"/>
          <w:noProof/>
          <w:szCs w:val="24"/>
          <w:lang w:eastAsia="en-ZA"/>
        </w:rPr>
        <w:t xml:space="preserve">OST </w:t>
      </w:r>
      <w:r w:rsidR="000F0375" w:rsidRPr="009F1FD3">
        <w:rPr>
          <w:rFonts w:ascii="Century Gothic" w:hAnsi="Century Gothic"/>
          <w:noProof/>
          <w:szCs w:val="24"/>
          <w:lang w:eastAsia="en-ZA"/>
        </w:rPr>
        <w:t>O</w:t>
      </w:r>
      <w:r w:rsidR="00A73D52">
        <w:rPr>
          <w:rFonts w:ascii="Century Gothic" w:hAnsi="Century Gothic"/>
          <w:noProof/>
          <w:szCs w:val="24"/>
          <w:lang w:eastAsia="en-ZA"/>
        </w:rPr>
        <w:t>F OWNERSHIP?</w:t>
      </w:r>
    </w:p>
    <w:p w:rsidR="00A73D52" w:rsidRDefault="00A73D52" w:rsidP="00A73D52">
      <w:pPr>
        <w:spacing w:line="360" w:lineRule="auto"/>
        <w:jc w:val="both"/>
        <w:rPr>
          <w:rFonts w:ascii="Century Gothic" w:hAnsi="Century Gothic" w:cs="Arial"/>
          <w:sz w:val="24"/>
          <w:szCs w:val="24"/>
        </w:rPr>
      </w:pPr>
      <w:r w:rsidRPr="00A73D52">
        <w:rPr>
          <w:rFonts w:ascii="Century Gothic" w:hAnsi="Century Gothic" w:cs="Arial"/>
          <w:sz w:val="24"/>
          <w:szCs w:val="24"/>
        </w:rPr>
        <w:t xml:space="preserve">Total Cost of Ownership (TCO) is an estimate of the total costs of goods, services or construction works over the whole of their life. </w:t>
      </w:r>
      <w:r>
        <w:rPr>
          <w:rFonts w:ascii="Century Gothic" w:hAnsi="Century Gothic" w:cs="Arial"/>
          <w:sz w:val="24"/>
          <w:szCs w:val="24"/>
        </w:rPr>
        <w:t xml:space="preserve"> </w:t>
      </w:r>
      <w:r w:rsidRPr="00A73D52">
        <w:rPr>
          <w:rFonts w:ascii="Century Gothic" w:hAnsi="Century Gothic" w:cs="Arial"/>
          <w:sz w:val="24"/>
          <w:szCs w:val="24"/>
        </w:rPr>
        <w:t xml:space="preserve">It’s the combination of the purchase price plus all other costs you will incur, less any income you receive. </w:t>
      </w:r>
      <w:r>
        <w:rPr>
          <w:rFonts w:ascii="Century Gothic" w:hAnsi="Century Gothic" w:cs="Arial"/>
          <w:sz w:val="24"/>
          <w:szCs w:val="24"/>
        </w:rPr>
        <w:t xml:space="preserve"> </w:t>
      </w:r>
      <w:r w:rsidRPr="00A73D52">
        <w:rPr>
          <w:rFonts w:ascii="Century Gothic" w:hAnsi="Century Gothic" w:cs="Arial"/>
          <w:sz w:val="24"/>
          <w:szCs w:val="24"/>
        </w:rPr>
        <w:t>For example: the initial purchase price plus installation costs, operating costs and ongoing maintenance less the residual value on disposal.</w:t>
      </w:r>
    </w:p>
    <w:p w:rsidR="00A73D52" w:rsidRPr="00A73D52" w:rsidRDefault="00A73D52" w:rsidP="00A73D52">
      <w:pPr>
        <w:pStyle w:val="Heading1"/>
        <w:pageBreakBefore w:val="0"/>
        <w:spacing w:after="240"/>
        <w:ind w:left="431" w:hanging="431"/>
        <w:rPr>
          <w:rFonts w:ascii="Century Gothic" w:hAnsi="Century Gothic"/>
          <w:caps/>
          <w:noProof/>
          <w:szCs w:val="24"/>
          <w:lang w:eastAsia="en-ZA"/>
        </w:rPr>
      </w:pPr>
      <w:r w:rsidRPr="00A73D52">
        <w:rPr>
          <w:rFonts w:ascii="Century Gothic" w:hAnsi="Century Gothic"/>
          <w:caps/>
          <w:noProof/>
          <w:szCs w:val="24"/>
          <w:lang w:eastAsia="en-ZA"/>
        </w:rPr>
        <w:t>Why is TCO important?</w:t>
      </w:r>
    </w:p>
    <w:p w:rsidR="00A73D52" w:rsidRPr="00A73D52" w:rsidRDefault="00A73D52" w:rsidP="00A73D52">
      <w:pPr>
        <w:spacing w:line="360" w:lineRule="auto"/>
        <w:jc w:val="both"/>
        <w:rPr>
          <w:rFonts w:ascii="Century Gothic" w:hAnsi="Century Gothic" w:cs="Arial"/>
          <w:sz w:val="24"/>
          <w:szCs w:val="24"/>
        </w:rPr>
      </w:pPr>
      <w:r w:rsidRPr="00A73D52">
        <w:rPr>
          <w:rFonts w:ascii="Century Gothic" w:hAnsi="Century Gothic" w:cs="Arial"/>
          <w:sz w:val="24"/>
          <w:szCs w:val="24"/>
        </w:rPr>
        <w:t>The procurement principles encourage us to make balanced procurement decisions. This includes getting the best value for money. It means accounting for all costs and benefits over the lifetime of the goods or services.</w:t>
      </w:r>
      <w:r>
        <w:rPr>
          <w:rFonts w:ascii="Century Gothic" w:hAnsi="Century Gothic" w:cs="Arial"/>
          <w:sz w:val="24"/>
          <w:szCs w:val="24"/>
        </w:rPr>
        <w:t xml:space="preserve">  </w:t>
      </w:r>
      <w:r w:rsidRPr="00A73D52">
        <w:rPr>
          <w:rFonts w:ascii="Century Gothic" w:hAnsi="Century Gothic" w:cs="Arial"/>
          <w:sz w:val="24"/>
          <w:szCs w:val="24"/>
        </w:rPr>
        <w:t>Part of good procurement is achieving the right price. Best value for money is the lowest whole-of-life cost. This involves identifying the initial purchase price and estimating all future costs and returns.</w:t>
      </w:r>
    </w:p>
    <w:p w:rsidR="00A73D52" w:rsidRDefault="00A73D52" w:rsidP="00A73D52">
      <w:pPr>
        <w:spacing w:line="360" w:lineRule="auto"/>
        <w:jc w:val="both"/>
        <w:rPr>
          <w:rFonts w:ascii="Century Gothic" w:hAnsi="Century Gothic" w:cs="Arial"/>
          <w:sz w:val="24"/>
          <w:szCs w:val="24"/>
        </w:rPr>
      </w:pPr>
      <w:r w:rsidRPr="00A73D52">
        <w:rPr>
          <w:rFonts w:ascii="Century Gothic" w:hAnsi="Century Gothic" w:cs="Arial"/>
          <w:sz w:val="24"/>
          <w:szCs w:val="24"/>
        </w:rPr>
        <w:t>A procurement decision based on the initial purchase price only rather than the total costs over the whole-of-life, could fail to recognise the real costs to your department.</w:t>
      </w:r>
    </w:p>
    <w:p w:rsidR="00A73D52" w:rsidRPr="00A73D52" w:rsidRDefault="00A73D52" w:rsidP="00A73D52">
      <w:pPr>
        <w:pStyle w:val="Heading1"/>
        <w:pageBreakBefore w:val="0"/>
        <w:spacing w:after="240"/>
        <w:ind w:left="431" w:hanging="431"/>
        <w:rPr>
          <w:rFonts w:ascii="Century Gothic" w:hAnsi="Century Gothic"/>
          <w:caps/>
          <w:noProof/>
          <w:szCs w:val="24"/>
          <w:lang w:eastAsia="en-ZA"/>
        </w:rPr>
      </w:pPr>
      <w:r w:rsidRPr="00A73D52">
        <w:rPr>
          <w:rFonts w:ascii="Century Gothic" w:hAnsi="Century Gothic"/>
          <w:caps/>
          <w:noProof/>
          <w:szCs w:val="24"/>
          <w:lang w:eastAsia="en-ZA"/>
        </w:rPr>
        <w:t>When should I use TCO?</w:t>
      </w:r>
    </w:p>
    <w:p w:rsidR="00A73D52" w:rsidRPr="00E07695" w:rsidRDefault="00A73D52" w:rsidP="00E07695">
      <w:pPr>
        <w:pStyle w:val="Heading2"/>
        <w:rPr>
          <w:rFonts w:ascii="Century Gothic" w:hAnsi="Century Gothic"/>
          <w:noProof/>
          <w:lang w:eastAsia="en-ZA"/>
        </w:rPr>
      </w:pPr>
      <w:r w:rsidRPr="00E07695">
        <w:rPr>
          <w:rFonts w:ascii="Century Gothic" w:hAnsi="Century Gothic"/>
          <w:noProof/>
          <w:lang w:eastAsia="en-ZA"/>
        </w:rPr>
        <w:t>TCO can be used at various stages in procurement:</w:t>
      </w:r>
    </w:p>
    <w:p w:rsidR="00A73D52" w:rsidRPr="00A73D52" w:rsidRDefault="00A73D52" w:rsidP="00A73D52">
      <w:pPr>
        <w:pStyle w:val="ListParagraph"/>
        <w:numPr>
          <w:ilvl w:val="0"/>
          <w:numId w:val="9"/>
        </w:numPr>
        <w:spacing w:after="0" w:line="360" w:lineRule="auto"/>
        <w:ind w:left="425" w:hanging="425"/>
        <w:jc w:val="both"/>
        <w:rPr>
          <w:rFonts w:ascii="Century Gothic" w:hAnsi="Century Gothic" w:cs="Arial"/>
          <w:sz w:val="24"/>
          <w:szCs w:val="24"/>
        </w:rPr>
      </w:pPr>
      <w:r w:rsidRPr="00A73D52">
        <w:rPr>
          <w:rFonts w:ascii="Century Gothic" w:hAnsi="Century Gothic" w:cs="Arial"/>
          <w:sz w:val="24"/>
          <w:szCs w:val="24"/>
        </w:rPr>
        <w:t xml:space="preserve">in a business case to assess the costs, benefits and risks associated with the </w:t>
      </w:r>
      <w:r>
        <w:rPr>
          <w:rFonts w:ascii="Century Gothic" w:hAnsi="Century Gothic" w:cs="Arial"/>
          <w:sz w:val="24"/>
          <w:szCs w:val="24"/>
        </w:rPr>
        <w:t>procurement;</w:t>
      </w:r>
    </w:p>
    <w:p w:rsidR="00A73D52" w:rsidRPr="00A73D52" w:rsidRDefault="00A73D52" w:rsidP="00A73D52">
      <w:pPr>
        <w:pStyle w:val="ListParagraph"/>
        <w:numPr>
          <w:ilvl w:val="0"/>
          <w:numId w:val="9"/>
        </w:numPr>
        <w:spacing w:after="0" w:line="360" w:lineRule="auto"/>
        <w:ind w:left="425" w:hanging="425"/>
        <w:jc w:val="both"/>
        <w:rPr>
          <w:rFonts w:ascii="Century Gothic" w:hAnsi="Century Gothic" w:cs="Arial"/>
          <w:sz w:val="24"/>
          <w:szCs w:val="24"/>
        </w:rPr>
      </w:pPr>
      <w:r w:rsidRPr="00A73D52">
        <w:rPr>
          <w:rFonts w:ascii="Century Gothic" w:hAnsi="Century Gothic" w:cs="Arial"/>
          <w:sz w:val="24"/>
          <w:szCs w:val="24"/>
        </w:rPr>
        <w:t>when assessing different business models, maintenance options or solutions on a comparable cost basis</w:t>
      </w:r>
      <w:r>
        <w:rPr>
          <w:rFonts w:ascii="Century Gothic" w:hAnsi="Century Gothic" w:cs="Arial"/>
          <w:sz w:val="24"/>
          <w:szCs w:val="24"/>
        </w:rPr>
        <w:t>;</w:t>
      </w:r>
    </w:p>
    <w:p w:rsidR="00A73D52" w:rsidRPr="00A73D52" w:rsidRDefault="00A73D52" w:rsidP="00A73D52">
      <w:pPr>
        <w:pStyle w:val="ListParagraph"/>
        <w:numPr>
          <w:ilvl w:val="0"/>
          <w:numId w:val="9"/>
        </w:numPr>
        <w:spacing w:after="0" w:line="360" w:lineRule="auto"/>
        <w:ind w:left="425" w:hanging="425"/>
        <w:jc w:val="both"/>
        <w:rPr>
          <w:rFonts w:ascii="Century Gothic" w:hAnsi="Century Gothic" w:cs="Arial"/>
          <w:sz w:val="24"/>
          <w:szCs w:val="24"/>
        </w:rPr>
      </w:pPr>
      <w:r w:rsidRPr="00A73D52">
        <w:rPr>
          <w:rFonts w:ascii="Century Gothic" w:hAnsi="Century Gothic" w:cs="Arial"/>
          <w:sz w:val="24"/>
          <w:szCs w:val="24"/>
        </w:rPr>
        <w:t>to understand the different cost drivers in the life of a procurement</w:t>
      </w:r>
      <w:r>
        <w:rPr>
          <w:rFonts w:ascii="Century Gothic" w:hAnsi="Century Gothic" w:cs="Arial"/>
          <w:sz w:val="24"/>
          <w:szCs w:val="24"/>
        </w:rPr>
        <w:t>;</w:t>
      </w:r>
    </w:p>
    <w:p w:rsidR="00A73D52" w:rsidRPr="00A73D52" w:rsidRDefault="00A73D52" w:rsidP="00A73D52">
      <w:pPr>
        <w:pStyle w:val="ListParagraph"/>
        <w:numPr>
          <w:ilvl w:val="0"/>
          <w:numId w:val="9"/>
        </w:numPr>
        <w:spacing w:after="0" w:line="360" w:lineRule="auto"/>
        <w:ind w:left="425" w:hanging="425"/>
        <w:jc w:val="both"/>
        <w:rPr>
          <w:rFonts w:ascii="Century Gothic" w:hAnsi="Century Gothic" w:cs="Arial"/>
          <w:sz w:val="24"/>
          <w:szCs w:val="24"/>
        </w:rPr>
      </w:pPr>
      <w:r w:rsidRPr="00A73D52">
        <w:rPr>
          <w:rFonts w:ascii="Century Gothic" w:hAnsi="Century Gothic" w:cs="Arial"/>
          <w:sz w:val="24"/>
          <w:szCs w:val="24"/>
        </w:rPr>
        <w:lastRenderedPageBreak/>
        <w:t>by a supplier when bidding for a contract to demonstrate the total benefits and value being offered – especially where the initial purchase price is higher than competitors, but the total cost of ownership is lower</w:t>
      </w:r>
      <w:r>
        <w:rPr>
          <w:rFonts w:ascii="Century Gothic" w:hAnsi="Century Gothic" w:cs="Arial"/>
          <w:sz w:val="24"/>
          <w:szCs w:val="24"/>
        </w:rPr>
        <w:t>;</w:t>
      </w:r>
    </w:p>
    <w:p w:rsidR="00A73D52" w:rsidRPr="00A73D52" w:rsidRDefault="00A73D52" w:rsidP="00A73D52">
      <w:pPr>
        <w:pStyle w:val="ListParagraph"/>
        <w:numPr>
          <w:ilvl w:val="0"/>
          <w:numId w:val="9"/>
        </w:numPr>
        <w:spacing w:after="0" w:line="360" w:lineRule="auto"/>
        <w:ind w:left="425" w:hanging="425"/>
        <w:jc w:val="both"/>
        <w:rPr>
          <w:rFonts w:ascii="Century Gothic" w:hAnsi="Century Gothic" w:cs="Arial"/>
          <w:sz w:val="24"/>
          <w:szCs w:val="24"/>
        </w:rPr>
      </w:pPr>
      <w:r w:rsidRPr="00A73D52">
        <w:rPr>
          <w:rFonts w:ascii="Century Gothic" w:hAnsi="Century Gothic" w:cs="Arial"/>
          <w:sz w:val="24"/>
          <w:szCs w:val="24"/>
        </w:rPr>
        <w:t>in selecting the best supplier by assessing the comparative whole-of-life costs of competing bids</w:t>
      </w:r>
      <w:r>
        <w:rPr>
          <w:rFonts w:ascii="Century Gothic" w:hAnsi="Century Gothic" w:cs="Arial"/>
          <w:sz w:val="24"/>
          <w:szCs w:val="24"/>
        </w:rPr>
        <w:t>;</w:t>
      </w:r>
    </w:p>
    <w:p w:rsidR="00A73D52" w:rsidRPr="00A73D52" w:rsidRDefault="00A73D52" w:rsidP="00A73D52">
      <w:pPr>
        <w:pStyle w:val="ListParagraph"/>
        <w:numPr>
          <w:ilvl w:val="0"/>
          <w:numId w:val="9"/>
        </w:numPr>
        <w:spacing w:after="0" w:line="360" w:lineRule="auto"/>
        <w:ind w:left="425" w:hanging="425"/>
        <w:jc w:val="both"/>
        <w:rPr>
          <w:rFonts w:ascii="Century Gothic" w:hAnsi="Century Gothic" w:cs="Arial"/>
          <w:sz w:val="24"/>
          <w:szCs w:val="24"/>
        </w:rPr>
      </w:pPr>
      <w:r w:rsidRPr="00A73D52">
        <w:rPr>
          <w:rFonts w:ascii="Century Gothic" w:hAnsi="Century Gothic" w:cs="Arial"/>
          <w:sz w:val="24"/>
          <w:szCs w:val="24"/>
        </w:rPr>
        <w:t>in managing the contract to track actual expenses and income against budget</w:t>
      </w:r>
      <w:r>
        <w:rPr>
          <w:rFonts w:ascii="Century Gothic" w:hAnsi="Century Gothic" w:cs="Arial"/>
          <w:sz w:val="24"/>
          <w:szCs w:val="24"/>
        </w:rPr>
        <w:t>; and</w:t>
      </w:r>
    </w:p>
    <w:p w:rsidR="00A73D52" w:rsidRDefault="00A73D52" w:rsidP="00E07695">
      <w:pPr>
        <w:pStyle w:val="ListParagraph"/>
        <w:numPr>
          <w:ilvl w:val="0"/>
          <w:numId w:val="9"/>
        </w:numPr>
        <w:spacing w:after="120" w:line="360" w:lineRule="auto"/>
        <w:ind w:left="425" w:hanging="425"/>
        <w:contextualSpacing w:val="0"/>
        <w:jc w:val="both"/>
        <w:rPr>
          <w:rFonts w:ascii="Century Gothic" w:hAnsi="Century Gothic" w:cs="Arial"/>
          <w:sz w:val="24"/>
          <w:szCs w:val="24"/>
        </w:rPr>
      </w:pPr>
      <w:r w:rsidRPr="00A73D52">
        <w:rPr>
          <w:rFonts w:ascii="Century Gothic" w:hAnsi="Century Gothic" w:cs="Arial"/>
          <w:sz w:val="24"/>
          <w:szCs w:val="24"/>
        </w:rPr>
        <w:t>as part of a benefits realisation exercise.</w:t>
      </w:r>
    </w:p>
    <w:p w:rsidR="00E07695" w:rsidRPr="005D1C29" w:rsidRDefault="00E07695" w:rsidP="00E07695">
      <w:pPr>
        <w:pStyle w:val="Heading2"/>
        <w:rPr>
          <w:rFonts w:ascii="Century Gothic" w:hAnsi="Century Gothic"/>
          <w:noProof/>
          <w:lang w:eastAsia="en-ZA"/>
        </w:rPr>
      </w:pPr>
      <w:r w:rsidRPr="005D1C29">
        <w:rPr>
          <w:rFonts w:ascii="Century Gothic" w:hAnsi="Century Gothic"/>
          <w:noProof/>
          <w:lang w:eastAsia="en-ZA"/>
        </w:rPr>
        <w:t>Is TCO only relevant to goods?</w:t>
      </w:r>
    </w:p>
    <w:p w:rsidR="00E07695" w:rsidRDefault="00E07695" w:rsidP="00E07695">
      <w:pPr>
        <w:spacing w:after="360" w:line="360" w:lineRule="auto"/>
        <w:jc w:val="both"/>
        <w:rPr>
          <w:rFonts w:ascii="Century Gothic" w:hAnsi="Century Gothic" w:cs="Arial"/>
          <w:sz w:val="24"/>
          <w:szCs w:val="24"/>
        </w:rPr>
      </w:pPr>
      <w:r w:rsidRPr="00C75800">
        <w:rPr>
          <w:rFonts w:ascii="Century Gothic" w:hAnsi="Century Gothic" w:cs="Arial"/>
          <w:sz w:val="24"/>
          <w:szCs w:val="24"/>
        </w:rPr>
        <w:t>The concept of TCO is easy to understand in terms of goods, such</w:t>
      </w:r>
      <w:r>
        <w:rPr>
          <w:rFonts w:ascii="Century Gothic" w:hAnsi="Century Gothic" w:cs="Arial"/>
          <w:sz w:val="24"/>
          <w:szCs w:val="24"/>
        </w:rPr>
        <w:t xml:space="preserve"> </w:t>
      </w:r>
      <w:r w:rsidRPr="00C75800">
        <w:rPr>
          <w:rFonts w:ascii="Century Gothic" w:hAnsi="Century Gothic" w:cs="Arial"/>
          <w:sz w:val="24"/>
          <w:szCs w:val="24"/>
        </w:rPr>
        <w:t>as buying cars or leasing printers. It can also apply to services</w:t>
      </w:r>
      <w:r>
        <w:rPr>
          <w:rFonts w:ascii="Century Gothic" w:hAnsi="Century Gothic" w:cs="Arial"/>
          <w:sz w:val="24"/>
          <w:szCs w:val="24"/>
        </w:rPr>
        <w:t xml:space="preserve"> </w:t>
      </w:r>
      <w:r w:rsidRPr="00C75800">
        <w:rPr>
          <w:rFonts w:ascii="Century Gothic" w:hAnsi="Century Gothic" w:cs="Arial"/>
          <w:sz w:val="24"/>
          <w:szCs w:val="24"/>
        </w:rPr>
        <w:t>such as a building maintenance agreement or providing training.</w:t>
      </w:r>
    </w:p>
    <w:p w:rsidR="00037168" w:rsidRDefault="00E07695" w:rsidP="00037168">
      <w:pPr>
        <w:pStyle w:val="Heading1"/>
        <w:pageBreakBefore w:val="0"/>
        <w:spacing w:after="240"/>
        <w:ind w:left="431" w:hanging="431"/>
        <w:rPr>
          <w:rFonts w:ascii="Century Gothic" w:hAnsi="Century Gothic"/>
          <w:noProof/>
          <w:szCs w:val="24"/>
          <w:lang w:eastAsia="en-ZA"/>
        </w:rPr>
      </w:pPr>
      <w:r>
        <w:rPr>
          <w:rFonts w:ascii="Century Gothic" w:hAnsi="Century Gothic"/>
          <w:noProof/>
          <w:szCs w:val="24"/>
          <w:lang w:eastAsia="en-ZA"/>
        </w:rPr>
        <w:t>TOTAL COST OF OWNERSHIP FRAMEWORK</w:t>
      </w:r>
    </w:p>
    <w:p w:rsidR="009F1FD3" w:rsidRPr="00265391" w:rsidRDefault="009F1FD3" w:rsidP="00265391">
      <w:pPr>
        <w:spacing w:line="360" w:lineRule="auto"/>
        <w:jc w:val="both"/>
        <w:rPr>
          <w:rFonts w:ascii="Century Gothic" w:hAnsi="Century Gothic" w:cs="Arial"/>
          <w:sz w:val="24"/>
          <w:szCs w:val="24"/>
        </w:rPr>
      </w:pPr>
      <w:r w:rsidRPr="00265391">
        <w:rPr>
          <w:rFonts w:ascii="Century Gothic" w:hAnsi="Century Gothic" w:cs="Arial"/>
          <w:sz w:val="24"/>
          <w:szCs w:val="24"/>
        </w:rPr>
        <w:t xml:space="preserve">The graphic below illustrates typical </w:t>
      </w:r>
      <w:r w:rsidR="00A73D52">
        <w:rPr>
          <w:rFonts w:ascii="Century Gothic" w:hAnsi="Century Gothic" w:cs="Arial"/>
          <w:sz w:val="24"/>
          <w:szCs w:val="24"/>
        </w:rPr>
        <w:t>elements</w:t>
      </w:r>
      <w:r w:rsidRPr="00265391">
        <w:rPr>
          <w:rFonts w:ascii="Century Gothic" w:hAnsi="Century Gothic" w:cs="Arial"/>
          <w:sz w:val="24"/>
          <w:szCs w:val="24"/>
        </w:rPr>
        <w:t xml:space="preserve"> in the lifecycle of a commodity.</w:t>
      </w:r>
    </w:p>
    <w:p w:rsidR="009F1FD3" w:rsidRDefault="00A73D52" w:rsidP="00A73D52">
      <w:pPr>
        <w:jc w:val="center"/>
        <w:rPr>
          <w:rFonts w:cs="Arial"/>
        </w:rPr>
      </w:pPr>
      <w:bookmarkStart w:id="0" w:name="_GoBack"/>
      <w:r>
        <w:rPr>
          <w:noProof/>
          <w:lang w:eastAsia="en-ZA"/>
        </w:rPr>
        <w:drawing>
          <wp:inline distT="0" distB="0" distL="0" distR="0" wp14:anchorId="57E436FB" wp14:editId="691E1B3D">
            <wp:extent cx="3041789" cy="28024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46718" cy="2806957"/>
                    </a:xfrm>
                    <a:prstGeom prst="rect">
                      <a:avLst/>
                    </a:prstGeom>
                  </pic:spPr>
                </pic:pic>
              </a:graphicData>
            </a:graphic>
          </wp:inline>
        </w:drawing>
      </w:r>
      <w:bookmarkEnd w:id="0"/>
    </w:p>
    <w:p w:rsidR="00C75800" w:rsidRPr="005D1C29" w:rsidRDefault="00C75800" w:rsidP="00C75800">
      <w:pPr>
        <w:pStyle w:val="Heading2"/>
        <w:rPr>
          <w:rFonts w:ascii="Century Gothic" w:hAnsi="Century Gothic"/>
          <w:noProof/>
          <w:lang w:eastAsia="en-ZA"/>
        </w:rPr>
      </w:pPr>
      <w:r w:rsidRPr="005D1C29">
        <w:rPr>
          <w:rFonts w:ascii="Century Gothic" w:hAnsi="Century Gothic"/>
          <w:noProof/>
          <w:lang w:eastAsia="en-ZA"/>
        </w:rPr>
        <w:lastRenderedPageBreak/>
        <w:t>Tip of the iceberg</w:t>
      </w:r>
    </w:p>
    <w:p w:rsidR="00C75800" w:rsidRPr="00C75800" w:rsidRDefault="00C75800" w:rsidP="00C75800">
      <w:pPr>
        <w:spacing w:line="360" w:lineRule="auto"/>
        <w:jc w:val="both"/>
        <w:rPr>
          <w:rFonts w:ascii="Century Gothic" w:hAnsi="Century Gothic" w:cs="Arial"/>
          <w:sz w:val="24"/>
          <w:szCs w:val="24"/>
        </w:rPr>
      </w:pPr>
      <w:r w:rsidRPr="00C75800">
        <w:rPr>
          <w:rFonts w:ascii="Century Gothic" w:hAnsi="Century Gothic" w:cs="Arial"/>
          <w:sz w:val="24"/>
          <w:szCs w:val="24"/>
        </w:rPr>
        <w:t>The initial purchase price is usually just the’ tip of the iceberg’ in terms of the costs you will incur.</w:t>
      </w:r>
      <w:r>
        <w:rPr>
          <w:rFonts w:ascii="Century Gothic" w:hAnsi="Century Gothic" w:cs="Arial"/>
          <w:sz w:val="24"/>
          <w:szCs w:val="24"/>
        </w:rPr>
        <w:t xml:space="preserve"> </w:t>
      </w:r>
      <w:r w:rsidRPr="00C75800">
        <w:rPr>
          <w:rFonts w:ascii="Century Gothic" w:hAnsi="Century Gothic" w:cs="Arial"/>
          <w:sz w:val="24"/>
          <w:szCs w:val="24"/>
        </w:rPr>
        <w:t>There are hidden costs lurking under the water line. You need to look beyond purchase price to</w:t>
      </w:r>
      <w:r>
        <w:rPr>
          <w:rFonts w:ascii="Century Gothic" w:hAnsi="Century Gothic" w:cs="Arial"/>
          <w:sz w:val="24"/>
          <w:szCs w:val="24"/>
        </w:rPr>
        <w:t xml:space="preserve"> </w:t>
      </w:r>
      <w:r w:rsidRPr="00C75800">
        <w:rPr>
          <w:rFonts w:ascii="Century Gothic" w:hAnsi="Century Gothic" w:cs="Arial"/>
          <w:sz w:val="24"/>
          <w:szCs w:val="24"/>
        </w:rPr>
        <w:t>identify all other expenses and income over the whole-of-life of the goods or service.</w:t>
      </w:r>
    </w:p>
    <w:p w:rsidR="005D1C29" w:rsidRDefault="00C75800" w:rsidP="00C75800">
      <w:pPr>
        <w:spacing w:line="360" w:lineRule="auto"/>
        <w:jc w:val="both"/>
        <w:rPr>
          <w:noProof/>
          <w:lang w:eastAsia="en-ZA"/>
        </w:rPr>
      </w:pPr>
      <w:r w:rsidRPr="00C75800">
        <w:rPr>
          <w:rFonts w:ascii="Century Gothic" w:hAnsi="Century Gothic" w:cs="Arial"/>
          <w:sz w:val="24"/>
          <w:szCs w:val="24"/>
        </w:rPr>
        <w:t>However, every procurement is different. So what needs to be included in the TCO calculation will</w:t>
      </w:r>
      <w:r>
        <w:rPr>
          <w:rFonts w:ascii="Century Gothic" w:hAnsi="Century Gothic" w:cs="Arial"/>
          <w:sz w:val="24"/>
          <w:szCs w:val="24"/>
        </w:rPr>
        <w:t xml:space="preserve"> </w:t>
      </w:r>
      <w:r w:rsidRPr="00C75800">
        <w:rPr>
          <w:rFonts w:ascii="Century Gothic" w:hAnsi="Century Gothic" w:cs="Arial"/>
          <w:sz w:val="24"/>
          <w:szCs w:val="24"/>
        </w:rPr>
        <w:t>vary. The goal is to arrive at a figure that accurately reflects the full costs and income to your</w:t>
      </w:r>
      <w:r>
        <w:rPr>
          <w:rFonts w:ascii="Century Gothic" w:hAnsi="Century Gothic" w:cs="Arial"/>
          <w:sz w:val="24"/>
          <w:szCs w:val="24"/>
        </w:rPr>
        <w:t xml:space="preserve"> department</w:t>
      </w:r>
      <w:r w:rsidRPr="00C75800">
        <w:rPr>
          <w:rFonts w:ascii="Century Gothic" w:hAnsi="Century Gothic" w:cs="Arial"/>
          <w:sz w:val="24"/>
          <w:szCs w:val="24"/>
        </w:rPr>
        <w:t>.</w:t>
      </w:r>
      <w:r w:rsidR="005D1C29" w:rsidRPr="005D1C29">
        <w:rPr>
          <w:noProof/>
          <w:lang w:eastAsia="en-ZA"/>
        </w:rPr>
        <w:t xml:space="preserve"> </w:t>
      </w:r>
    </w:p>
    <w:p w:rsidR="00C75800" w:rsidRDefault="005D1C29" w:rsidP="005D1C29">
      <w:pPr>
        <w:spacing w:line="360" w:lineRule="auto"/>
        <w:jc w:val="center"/>
        <w:rPr>
          <w:rFonts w:ascii="Century Gothic" w:hAnsi="Century Gothic" w:cs="Arial"/>
          <w:sz w:val="24"/>
          <w:szCs w:val="24"/>
        </w:rPr>
      </w:pPr>
      <w:r>
        <w:rPr>
          <w:noProof/>
          <w:lang w:eastAsia="en-ZA"/>
        </w:rPr>
        <w:drawing>
          <wp:inline distT="0" distB="0" distL="0" distR="0" wp14:anchorId="3FC0D8F1" wp14:editId="644F6E90">
            <wp:extent cx="3314700" cy="2569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314700" cy="2569845"/>
                    </a:xfrm>
                    <a:prstGeom prst="rect">
                      <a:avLst/>
                    </a:prstGeom>
                  </pic:spPr>
                </pic:pic>
              </a:graphicData>
            </a:graphic>
          </wp:inline>
        </w:drawing>
      </w:r>
    </w:p>
    <w:p w:rsidR="00C75800" w:rsidRPr="005D1C29" w:rsidRDefault="00C75800" w:rsidP="00C75800">
      <w:pPr>
        <w:pStyle w:val="Heading2"/>
        <w:rPr>
          <w:rFonts w:ascii="Century Gothic" w:hAnsi="Century Gothic"/>
          <w:noProof/>
          <w:lang w:eastAsia="en-ZA"/>
        </w:rPr>
      </w:pPr>
      <w:r w:rsidRPr="005D1C29">
        <w:rPr>
          <w:rFonts w:ascii="Century Gothic" w:hAnsi="Century Gothic"/>
          <w:noProof/>
          <w:lang w:eastAsia="en-ZA"/>
        </w:rPr>
        <w:t>Types of costs</w:t>
      </w:r>
    </w:p>
    <w:p w:rsidR="00C75800" w:rsidRPr="00C75800" w:rsidRDefault="00C75800" w:rsidP="00C75800">
      <w:pPr>
        <w:spacing w:after="0" w:line="360" w:lineRule="auto"/>
        <w:jc w:val="both"/>
        <w:rPr>
          <w:rFonts w:ascii="Century Gothic" w:hAnsi="Century Gothic" w:cs="Arial"/>
          <w:sz w:val="24"/>
          <w:szCs w:val="24"/>
        </w:rPr>
      </w:pPr>
      <w:r w:rsidRPr="00C75800">
        <w:rPr>
          <w:rFonts w:ascii="Century Gothic" w:hAnsi="Century Gothic" w:cs="Arial"/>
          <w:sz w:val="24"/>
          <w:szCs w:val="24"/>
        </w:rPr>
        <w:t>There are two broad types of costs:</w:t>
      </w:r>
    </w:p>
    <w:p w:rsidR="005D1C29" w:rsidRPr="005D1C29" w:rsidRDefault="005D1C29" w:rsidP="005D1C29">
      <w:pPr>
        <w:pStyle w:val="Heading3"/>
        <w:rPr>
          <w:rFonts w:ascii="Century Gothic" w:hAnsi="Century Gothic"/>
          <w:i/>
          <w:noProof/>
          <w:lang w:eastAsia="en-ZA"/>
        </w:rPr>
      </w:pPr>
      <w:r w:rsidRPr="005D1C29">
        <w:rPr>
          <w:rFonts w:ascii="Century Gothic" w:hAnsi="Century Gothic"/>
          <w:i/>
          <w:noProof/>
          <w:sz w:val="24"/>
          <w:lang w:eastAsia="en-ZA"/>
        </w:rPr>
        <w:t>Direct or “hard”costs</w:t>
      </w:r>
    </w:p>
    <w:p w:rsidR="005D1C29" w:rsidRPr="005D1C29" w:rsidRDefault="005D1C29" w:rsidP="005D1C29">
      <w:pPr>
        <w:spacing w:after="0" w:line="360" w:lineRule="auto"/>
        <w:jc w:val="both"/>
        <w:rPr>
          <w:rFonts w:ascii="Century Gothic" w:hAnsi="Century Gothic" w:cs="Arial"/>
          <w:sz w:val="24"/>
          <w:szCs w:val="24"/>
        </w:rPr>
      </w:pPr>
      <w:r w:rsidRPr="005D1C29">
        <w:rPr>
          <w:rFonts w:ascii="Century Gothic" w:hAnsi="Century Gothic" w:cs="Arial"/>
          <w:sz w:val="24"/>
          <w:szCs w:val="24"/>
        </w:rPr>
        <w:t>Direct costs are attributed to a specific good or service.  In construction, the costs of materials used eg wood, cement, doors, fittings and labour are all direct costs.</w:t>
      </w:r>
    </w:p>
    <w:p w:rsidR="00C75800" w:rsidRPr="005D1C29" w:rsidRDefault="005D1C29" w:rsidP="005D1C29">
      <w:pPr>
        <w:pStyle w:val="Heading3"/>
        <w:ind w:left="360" w:hanging="360"/>
        <w:rPr>
          <w:rFonts w:ascii="Century Gothic" w:hAnsi="Century Gothic"/>
          <w:i/>
          <w:noProof/>
          <w:sz w:val="24"/>
          <w:lang w:eastAsia="en-ZA"/>
        </w:rPr>
      </w:pPr>
      <w:r>
        <w:rPr>
          <w:rFonts w:ascii="Century Gothic" w:hAnsi="Century Gothic"/>
          <w:i/>
          <w:noProof/>
          <w:sz w:val="24"/>
          <w:lang w:eastAsia="en-ZA"/>
        </w:rPr>
        <w:lastRenderedPageBreak/>
        <w:t>I</w:t>
      </w:r>
      <w:r w:rsidR="00C75800" w:rsidRPr="005D1C29">
        <w:rPr>
          <w:rFonts w:ascii="Century Gothic" w:hAnsi="Century Gothic"/>
          <w:i/>
          <w:noProof/>
          <w:sz w:val="24"/>
          <w:lang w:eastAsia="en-ZA"/>
        </w:rPr>
        <w:t>ndirect or ‘soft’ costs.</w:t>
      </w:r>
    </w:p>
    <w:p w:rsidR="00C75800" w:rsidRPr="00C75800" w:rsidRDefault="005D1C29" w:rsidP="00C75800">
      <w:pPr>
        <w:spacing w:after="0" w:line="360" w:lineRule="auto"/>
        <w:jc w:val="both"/>
        <w:rPr>
          <w:rFonts w:ascii="Century Gothic" w:hAnsi="Century Gothic" w:cs="Arial"/>
          <w:sz w:val="24"/>
          <w:szCs w:val="24"/>
        </w:rPr>
      </w:pPr>
      <w:r w:rsidRPr="005D1C29">
        <w:rPr>
          <w:rFonts w:ascii="Century Gothic" w:hAnsi="Century Gothic" w:cs="Arial"/>
          <w:sz w:val="24"/>
          <w:szCs w:val="24"/>
        </w:rPr>
        <w:t xml:space="preserve">Indirect costs are not attributed to a specific good or service. </w:t>
      </w:r>
      <w:r>
        <w:rPr>
          <w:rFonts w:ascii="Century Gothic" w:hAnsi="Century Gothic" w:cs="Arial"/>
          <w:sz w:val="24"/>
          <w:szCs w:val="24"/>
        </w:rPr>
        <w:t xml:space="preserve"> </w:t>
      </w:r>
      <w:r w:rsidRPr="005D1C29">
        <w:rPr>
          <w:rFonts w:ascii="Century Gothic" w:hAnsi="Century Gothic" w:cs="Arial"/>
          <w:sz w:val="24"/>
          <w:szCs w:val="24"/>
        </w:rPr>
        <w:t>In manufacturing these include e</w:t>
      </w:r>
      <w:r>
        <w:rPr>
          <w:rFonts w:ascii="Century Gothic" w:hAnsi="Century Gothic" w:cs="Arial"/>
          <w:sz w:val="24"/>
          <w:szCs w:val="24"/>
        </w:rPr>
        <w:t>.</w:t>
      </w:r>
      <w:r w:rsidRPr="005D1C29">
        <w:rPr>
          <w:rFonts w:ascii="Century Gothic" w:hAnsi="Century Gothic" w:cs="Arial"/>
          <w:sz w:val="24"/>
          <w:szCs w:val="24"/>
        </w:rPr>
        <w:t>g</w:t>
      </w:r>
      <w:r>
        <w:rPr>
          <w:rFonts w:ascii="Century Gothic" w:hAnsi="Century Gothic" w:cs="Arial"/>
          <w:sz w:val="24"/>
          <w:szCs w:val="24"/>
        </w:rPr>
        <w:t>.</w:t>
      </w:r>
      <w:r w:rsidRPr="005D1C29">
        <w:rPr>
          <w:rFonts w:ascii="Century Gothic" w:hAnsi="Century Gothic" w:cs="Arial"/>
          <w:sz w:val="24"/>
          <w:szCs w:val="24"/>
        </w:rPr>
        <w:t xml:space="preserve"> rent, taxes, maintenance of equipment</w:t>
      </w:r>
      <w:r>
        <w:rPr>
          <w:rFonts w:ascii="Century Gothic" w:hAnsi="Century Gothic" w:cs="Arial"/>
          <w:sz w:val="24"/>
          <w:szCs w:val="24"/>
        </w:rPr>
        <w:t>, etc</w:t>
      </w:r>
      <w:r w:rsidRPr="005D1C29">
        <w:rPr>
          <w:rFonts w:ascii="Century Gothic" w:hAnsi="Century Gothic" w:cs="Arial"/>
          <w:sz w:val="24"/>
          <w:szCs w:val="24"/>
        </w:rPr>
        <w:t>.</w:t>
      </w:r>
      <w:r>
        <w:rPr>
          <w:rFonts w:ascii="Century Gothic" w:hAnsi="Century Gothic" w:cs="Arial"/>
          <w:sz w:val="24"/>
          <w:szCs w:val="24"/>
        </w:rPr>
        <w:t xml:space="preserve">  </w:t>
      </w:r>
      <w:r w:rsidR="00C75800" w:rsidRPr="00C75800">
        <w:rPr>
          <w:rFonts w:ascii="Century Gothic" w:hAnsi="Century Gothic" w:cs="Arial"/>
          <w:sz w:val="24"/>
          <w:szCs w:val="24"/>
        </w:rPr>
        <w:t>Indirect costs are further broken down into:</w:t>
      </w:r>
    </w:p>
    <w:p w:rsidR="00C75800" w:rsidRPr="00C75800" w:rsidRDefault="00C75800" w:rsidP="005D1C29">
      <w:pPr>
        <w:pStyle w:val="ListParagraph"/>
        <w:numPr>
          <w:ilvl w:val="0"/>
          <w:numId w:val="14"/>
        </w:numPr>
        <w:spacing w:after="0" w:line="360" w:lineRule="auto"/>
        <w:ind w:hanging="720"/>
        <w:jc w:val="both"/>
        <w:rPr>
          <w:rFonts w:ascii="Century Gothic" w:hAnsi="Century Gothic" w:cs="Arial"/>
          <w:sz w:val="24"/>
          <w:szCs w:val="24"/>
        </w:rPr>
      </w:pPr>
      <w:r w:rsidRPr="00C75800">
        <w:rPr>
          <w:rFonts w:ascii="Century Gothic" w:hAnsi="Century Gothic" w:cs="Arial"/>
          <w:sz w:val="24"/>
          <w:szCs w:val="24"/>
        </w:rPr>
        <w:t>fixed costs (rent, insurance premiums, salaries)</w:t>
      </w:r>
    </w:p>
    <w:p w:rsidR="00C75800" w:rsidRDefault="00C75800" w:rsidP="005D1C29">
      <w:pPr>
        <w:pStyle w:val="ListParagraph"/>
        <w:numPr>
          <w:ilvl w:val="0"/>
          <w:numId w:val="14"/>
        </w:numPr>
        <w:spacing w:after="0" w:line="360" w:lineRule="auto"/>
        <w:ind w:hanging="720"/>
        <w:jc w:val="both"/>
        <w:rPr>
          <w:rFonts w:ascii="Century Gothic" w:hAnsi="Century Gothic" w:cs="Arial"/>
          <w:sz w:val="24"/>
          <w:szCs w:val="24"/>
        </w:rPr>
      </w:pPr>
      <w:r w:rsidRPr="005D1C29">
        <w:rPr>
          <w:rFonts w:ascii="Century Gothic" w:hAnsi="Century Gothic" w:cs="Arial"/>
          <w:sz w:val="24"/>
          <w:szCs w:val="24"/>
        </w:rPr>
        <w:t>variable costs (electricity, paper, pens and other consumables,</w:t>
      </w:r>
      <w:r w:rsidR="005D1C29">
        <w:rPr>
          <w:rFonts w:ascii="Century Gothic" w:hAnsi="Century Gothic" w:cs="Arial"/>
          <w:sz w:val="24"/>
          <w:szCs w:val="24"/>
        </w:rPr>
        <w:t xml:space="preserve"> </w:t>
      </w:r>
      <w:r w:rsidRPr="005D1C29">
        <w:rPr>
          <w:rFonts w:ascii="Century Gothic" w:hAnsi="Century Gothic" w:cs="Arial"/>
          <w:sz w:val="24"/>
          <w:szCs w:val="24"/>
        </w:rPr>
        <w:t>overtime).</w:t>
      </w:r>
    </w:p>
    <w:p w:rsidR="005D1C29" w:rsidRPr="00E07695" w:rsidRDefault="00E07695" w:rsidP="00E07695">
      <w:pPr>
        <w:pStyle w:val="Heading3"/>
        <w:ind w:left="360" w:hanging="360"/>
        <w:rPr>
          <w:rFonts w:ascii="Century Gothic" w:hAnsi="Century Gothic"/>
          <w:i/>
          <w:noProof/>
          <w:sz w:val="24"/>
          <w:lang w:eastAsia="en-ZA"/>
        </w:rPr>
      </w:pPr>
      <w:r w:rsidRPr="00E07695">
        <w:rPr>
          <w:rFonts w:ascii="Century Gothic" w:hAnsi="Century Gothic"/>
          <w:i/>
          <w:noProof/>
          <w:sz w:val="24"/>
          <w:lang w:eastAsia="en-ZA"/>
        </w:rPr>
        <w:t>Components that contribute to TCO.</w:t>
      </w:r>
    </w:p>
    <w:p w:rsidR="005D1C29" w:rsidRDefault="00E07695" w:rsidP="005D1C29">
      <w:pPr>
        <w:spacing w:after="0" w:line="360" w:lineRule="auto"/>
        <w:jc w:val="both"/>
        <w:rPr>
          <w:rFonts w:ascii="Century Gothic" w:hAnsi="Century Gothic" w:cs="Arial"/>
          <w:sz w:val="24"/>
          <w:szCs w:val="24"/>
        </w:rPr>
      </w:pPr>
      <w:r>
        <w:rPr>
          <w:rFonts w:ascii="Century Gothic" w:hAnsi="Century Gothic" w:cs="Arial"/>
          <w:sz w:val="24"/>
          <w:szCs w:val="24"/>
        </w:rPr>
        <w:t>Direct and indirect costs can fall within one of the following three categories:</w:t>
      </w:r>
    </w:p>
    <w:p w:rsidR="00E07695" w:rsidRPr="009D5DCD" w:rsidRDefault="00E07695" w:rsidP="009D5DCD">
      <w:pPr>
        <w:pStyle w:val="Heading3"/>
        <w:numPr>
          <w:ilvl w:val="3"/>
          <w:numId w:val="1"/>
        </w:numPr>
        <w:spacing w:before="0"/>
        <w:rPr>
          <w:rFonts w:ascii="Century Gothic" w:hAnsi="Century Gothic"/>
          <w:i/>
          <w:noProof/>
          <w:sz w:val="24"/>
          <w:lang w:eastAsia="en-ZA"/>
        </w:rPr>
      </w:pPr>
      <w:r w:rsidRPr="009D5DCD">
        <w:rPr>
          <w:rFonts w:ascii="Century Gothic" w:hAnsi="Century Gothic"/>
          <w:i/>
          <w:noProof/>
          <w:sz w:val="24"/>
          <w:lang w:eastAsia="en-ZA"/>
        </w:rPr>
        <w:t>External Cost</w:t>
      </w:r>
    </w:p>
    <w:p w:rsidR="00E07695" w:rsidRDefault="00E07695" w:rsidP="0008321D">
      <w:pPr>
        <w:spacing w:after="0" w:line="360" w:lineRule="auto"/>
        <w:jc w:val="both"/>
        <w:rPr>
          <w:rFonts w:ascii="Century Gothic" w:hAnsi="Century Gothic" w:cs="Arial"/>
          <w:sz w:val="24"/>
          <w:szCs w:val="24"/>
        </w:rPr>
      </w:pPr>
      <w:r>
        <w:rPr>
          <w:rFonts w:ascii="Century Gothic" w:hAnsi="Century Gothic" w:cs="Arial"/>
          <w:sz w:val="24"/>
          <w:szCs w:val="24"/>
        </w:rPr>
        <w:t>External costs are usually p</w:t>
      </w:r>
      <w:r w:rsidRPr="00E07695">
        <w:rPr>
          <w:rFonts w:ascii="Century Gothic" w:hAnsi="Century Gothic" w:cs="Arial"/>
          <w:sz w:val="24"/>
          <w:szCs w:val="24"/>
        </w:rPr>
        <w:t xml:space="preserve">urchase or </w:t>
      </w:r>
      <w:r>
        <w:rPr>
          <w:rFonts w:ascii="Century Gothic" w:hAnsi="Century Gothic" w:cs="Arial"/>
          <w:sz w:val="24"/>
          <w:szCs w:val="24"/>
        </w:rPr>
        <w:t>a</w:t>
      </w:r>
      <w:r w:rsidRPr="00E07695">
        <w:rPr>
          <w:rFonts w:ascii="Century Gothic" w:hAnsi="Century Gothic" w:cs="Arial"/>
          <w:sz w:val="24"/>
          <w:szCs w:val="24"/>
        </w:rPr>
        <w:t>cquisition cost</w:t>
      </w:r>
      <w:r w:rsidR="0008321D">
        <w:rPr>
          <w:rFonts w:ascii="Century Gothic" w:hAnsi="Century Gothic" w:cs="Arial"/>
          <w:sz w:val="24"/>
          <w:szCs w:val="24"/>
        </w:rPr>
        <w:t>s</w:t>
      </w:r>
      <w:r w:rsidRPr="00E07695">
        <w:rPr>
          <w:rFonts w:ascii="Century Gothic" w:hAnsi="Century Gothic" w:cs="Arial"/>
          <w:sz w:val="24"/>
          <w:szCs w:val="24"/>
        </w:rPr>
        <w:t xml:space="preserve"> </w:t>
      </w:r>
      <w:r w:rsidR="0008321D">
        <w:rPr>
          <w:rFonts w:ascii="Century Gothic" w:hAnsi="Century Gothic" w:cs="Arial"/>
          <w:sz w:val="24"/>
          <w:szCs w:val="24"/>
        </w:rPr>
        <w:t>and</w:t>
      </w:r>
      <w:r w:rsidRPr="00E07695">
        <w:rPr>
          <w:rFonts w:ascii="Century Gothic" w:hAnsi="Century Gothic" w:cs="Arial"/>
          <w:sz w:val="24"/>
          <w:szCs w:val="24"/>
        </w:rPr>
        <w:t xml:space="preserve"> all cost from the manufacturer up-to and including delivery to your warehouse</w:t>
      </w:r>
      <w:r w:rsidR="0008321D">
        <w:rPr>
          <w:rFonts w:ascii="Century Gothic" w:hAnsi="Century Gothic" w:cs="Arial"/>
          <w:sz w:val="24"/>
          <w:szCs w:val="24"/>
        </w:rPr>
        <w:t>.</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Purchase Price</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Inbound Freight Cost</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Insurance Premiums</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Packaging Cost</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Rate of Exchange</w:t>
      </w:r>
    </w:p>
    <w:p w:rsidR="0008321D" w:rsidRPr="0008321D" w:rsidRDefault="0008321D" w:rsidP="0008321D">
      <w:pPr>
        <w:pStyle w:val="ListParagraph"/>
        <w:numPr>
          <w:ilvl w:val="0"/>
          <w:numId w:val="23"/>
        </w:numPr>
        <w:spacing w:after="240" w:line="360" w:lineRule="auto"/>
        <w:ind w:left="567" w:hanging="567"/>
        <w:contextualSpacing w:val="0"/>
        <w:jc w:val="both"/>
        <w:rPr>
          <w:rFonts w:ascii="Century Gothic" w:hAnsi="Century Gothic" w:cs="Arial"/>
          <w:sz w:val="24"/>
          <w:szCs w:val="24"/>
        </w:rPr>
      </w:pPr>
      <w:r w:rsidRPr="0008321D">
        <w:rPr>
          <w:rFonts w:ascii="Century Gothic" w:hAnsi="Century Gothic" w:cs="Arial"/>
          <w:sz w:val="24"/>
          <w:szCs w:val="24"/>
        </w:rPr>
        <w:t>Duties and Taxes</w:t>
      </w:r>
    </w:p>
    <w:p w:rsidR="0008321D" w:rsidRPr="009D5DCD" w:rsidRDefault="0008321D" w:rsidP="009D5DCD">
      <w:pPr>
        <w:pStyle w:val="Heading3"/>
        <w:numPr>
          <w:ilvl w:val="3"/>
          <w:numId w:val="1"/>
        </w:numPr>
        <w:spacing w:before="0"/>
        <w:rPr>
          <w:rFonts w:ascii="Century Gothic" w:hAnsi="Century Gothic"/>
          <w:i/>
          <w:noProof/>
          <w:sz w:val="24"/>
          <w:lang w:eastAsia="en-ZA"/>
        </w:rPr>
      </w:pPr>
      <w:r w:rsidRPr="009D5DCD">
        <w:rPr>
          <w:rFonts w:ascii="Century Gothic" w:hAnsi="Century Gothic"/>
          <w:i/>
          <w:noProof/>
          <w:sz w:val="24"/>
          <w:lang w:eastAsia="en-ZA"/>
        </w:rPr>
        <w:t>Internal Cost</w:t>
      </w:r>
    </w:p>
    <w:p w:rsidR="0008321D" w:rsidRDefault="0008321D" w:rsidP="0008321D">
      <w:pPr>
        <w:spacing w:after="0" w:line="360" w:lineRule="auto"/>
        <w:jc w:val="both"/>
        <w:rPr>
          <w:rFonts w:ascii="Century Gothic" w:hAnsi="Century Gothic" w:cs="Arial"/>
          <w:sz w:val="24"/>
          <w:szCs w:val="24"/>
        </w:rPr>
      </w:pPr>
      <w:r w:rsidRPr="0008321D">
        <w:rPr>
          <w:rFonts w:ascii="Century Gothic" w:hAnsi="Century Gothic" w:cs="Arial"/>
          <w:sz w:val="24"/>
          <w:szCs w:val="24"/>
        </w:rPr>
        <w:t>All cost associated with the internal handling and management of the product (e.g. Installation, Support, Maintenance etc.)</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Transportation Cost (internally)</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Warehousing and Storage</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Manufacturing Cost</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Quality Assurance (internal)</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Installation Cost</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Operational Cost</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lastRenderedPageBreak/>
        <w:t>Training Cost</w:t>
      </w:r>
    </w:p>
    <w:p w:rsidR="0008321D" w:rsidRDefault="0008321D" w:rsidP="0008321D">
      <w:pPr>
        <w:pStyle w:val="ListParagraph"/>
        <w:numPr>
          <w:ilvl w:val="0"/>
          <w:numId w:val="23"/>
        </w:numPr>
        <w:spacing w:after="240" w:line="360" w:lineRule="auto"/>
        <w:ind w:left="567" w:hanging="567"/>
        <w:contextualSpacing w:val="0"/>
        <w:jc w:val="both"/>
        <w:rPr>
          <w:rFonts w:ascii="Century Gothic" w:hAnsi="Century Gothic" w:cs="Arial"/>
          <w:sz w:val="24"/>
          <w:szCs w:val="24"/>
        </w:rPr>
      </w:pPr>
      <w:r w:rsidRPr="0008321D">
        <w:rPr>
          <w:rFonts w:ascii="Century Gothic" w:hAnsi="Century Gothic" w:cs="Arial"/>
          <w:sz w:val="24"/>
          <w:szCs w:val="24"/>
        </w:rPr>
        <w:t>Recovery and Disposal</w:t>
      </w:r>
    </w:p>
    <w:p w:rsidR="0008321D" w:rsidRPr="009D5DCD" w:rsidRDefault="0008321D" w:rsidP="009D5DCD">
      <w:pPr>
        <w:pStyle w:val="Heading3"/>
        <w:numPr>
          <w:ilvl w:val="3"/>
          <w:numId w:val="1"/>
        </w:numPr>
        <w:spacing w:before="0"/>
        <w:rPr>
          <w:rFonts w:ascii="Century Gothic" w:hAnsi="Century Gothic"/>
          <w:i/>
          <w:noProof/>
          <w:sz w:val="24"/>
          <w:lang w:eastAsia="en-ZA"/>
        </w:rPr>
      </w:pPr>
      <w:r w:rsidRPr="009D5DCD">
        <w:rPr>
          <w:rFonts w:ascii="Century Gothic" w:hAnsi="Century Gothic"/>
          <w:i/>
          <w:noProof/>
          <w:sz w:val="24"/>
          <w:lang w:eastAsia="en-ZA"/>
        </w:rPr>
        <w:t>Joint Cost</w:t>
      </w:r>
    </w:p>
    <w:p w:rsidR="005D1C29" w:rsidRDefault="0008321D" w:rsidP="005D1C29">
      <w:pPr>
        <w:spacing w:after="0" w:line="360" w:lineRule="auto"/>
        <w:jc w:val="both"/>
        <w:rPr>
          <w:rFonts w:ascii="Century Gothic" w:hAnsi="Century Gothic" w:cs="Arial"/>
          <w:sz w:val="24"/>
          <w:szCs w:val="24"/>
        </w:rPr>
      </w:pPr>
      <w:r w:rsidRPr="0008321D">
        <w:rPr>
          <w:rFonts w:ascii="Century Gothic" w:hAnsi="Century Gothic" w:cs="Arial"/>
          <w:sz w:val="24"/>
          <w:szCs w:val="24"/>
        </w:rPr>
        <w:t xml:space="preserve">Joint supplier / client cost associated with administration, management and </w:t>
      </w:r>
      <w:r>
        <w:rPr>
          <w:rFonts w:ascii="Century Gothic" w:hAnsi="Century Gothic" w:cs="Arial"/>
          <w:sz w:val="24"/>
          <w:szCs w:val="24"/>
        </w:rPr>
        <w:t>j</w:t>
      </w:r>
      <w:r w:rsidRPr="0008321D">
        <w:rPr>
          <w:rFonts w:ascii="Century Gothic" w:hAnsi="Century Gothic" w:cs="Arial"/>
          <w:sz w:val="24"/>
          <w:szCs w:val="24"/>
        </w:rPr>
        <w:t>oint processes.</w:t>
      </w:r>
    </w:p>
    <w:p w:rsidR="0008321D" w:rsidRP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Redesign and Development</w:t>
      </w:r>
    </w:p>
    <w:p w:rsidR="0008321D" w:rsidRDefault="0008321D" w:rsidP="0008321D">
      <w:pPr>
        <w:pStyle w:val="ListParagraph"/>
        <w:numPr>
          <w:ilvl w:val="0"/>
          <w:numId w:val="23"/>
        </w:numPr>
        <w:spacing w:after="0" w:line="360" w:lineRule="auto"/>
        <w:ind w:left="567" w:hanging="567"/>
        <w:jc w:val="both"/>
        <w:rPr>
          <w:rFonts w:ascii="Century Gothic" w:hAnsi="Century Gothic" w:cs="Arial"/>
          <w:sz w:val="24"/>
          <w:szCs w:val="24"/>
        </w:rPr>
      </w:pPr>
      <w:r w:rsidRPr="0008321D">
        <w:rPr>
          <w:rFonts w:ascii="Century Gothic" w:hAnsi="Century Gothic" w:cs="Arial"/>
          <w:sz w:val="24"/>
          <w:szCs w:val="24"/>
        </w:rPr>
        <w:t>Other Joint Cost</w:t>
      </w:r>
    </w:p>
    <w:p w:rsidR="0008321D" w:rsidRDefault="0008321D" w:rsidP="005D1C29">
      <w:pPr>
        <w:spacing w:after="0" w:line="360" w:lineRule="auto"/>
        <w:jc w:val="both"/>
        <w:rPr>
          <w:rFonts w:ascii="Century Gothic" w:hAnsi="Century Gothic" w:cs="Arial"/>
          <w:sz w:val="24"/>
          <w:szCs w:val="24"/>
        </w:rPr>
      </w:pPr>
    </w:p>
    <w:p w:rsidR="0008321D" w:rsidRDefault="0008321D" w:rsidP="005D1C29">
      <w:pPr>
        <w:spacing w:after="0" w:line="360" w:lineRule="auto"/>
        <w:jc w:val="both"/>
        <w:rPr>
          <w:rFonts w:ascii="Century Gothic" w:hAnsi="Century Gothic" w:cs="Arial"/>
          <w:sz w:val="24"/>
          <w:szCs w:val="24"/>
        </w:rPr>
      </w:pPr>
      <w:r w:rsidRPr="0008321D">
        <w:rPr>
          <w:rFonts w:ascii="Century Gothic" w:hAnsi="Century Gothic" w:cs="Arial"/>
          <w:sz w:val="24"/>
          <w:szCs w:val="24"/>
        </w:rPr>
        <w:t>Only those costs influenced by procurement and ownership of the commodity should be included</w:t>
      </w:r>
      <w:r>
        <w:rPr>
          <w:rFonts w:ascii="Century Gothic" w:hAnsi="Century Gothic" w:cs="Arial"/>
          <w:sz w:val="24"/>
          <w:szCs w:val="24"/>
        </w:rPr>
        <w:t xml:space="preserve">.  </w:t>
      </w:r>
      <w:r w:rsidRPr="0008321D">
        <w:rPr>
          <w:rFonts w:ascii="Century Gothic" w:hAnsi="Century Gothic" w:cs="Arial"/>
          <w:sz w:val="24"/>
          <w:szCs w:val="24"/>
        </w:rPr>
        <w:t xml:space="preserve">Use the </w:t>
      </w:r>
      <w:r w:rsidRPr="0008321D">
        <w:rPr>
          <w:rFonts w:ascii="Century Gothic" w:hAnsi="Century Gothic" w:cs="Arial"/>
          <w:b/>
          <w:i/>
          <w:sz w:val="24"/>
          <w:szCs w:val="24"/>
        </w:rPr>
        <w:t>Value Chain Analysis</w:t>
      </w:r>
      <w:r w:rsidRPr="0008321D">
        <w:rPr>
          <w:rFonts w:ascii="Century Gothic" w:hAnsi="Century Gothic" w:cs="Arial"/>
          <w:sz w:val="24"/>
          <w:szCs w:val="24"/>
        </w:rPr>
        <w:t xml:space="preserve"> and </w:t>
      </w:r>
      <w:r w:rsidRPr="0008321D">
        <w:rPr>
          <w:rFonts w:ascii="Century Gothic" w:hAnsi="Century Gothic" w:cs="Arial"/>
          <w:b/>
          <w:i/>
          <w:sz w:val="24"/>
          <w:szCs w:val="24"/>
        </w:rPr>
        <w:t>Supply Chain Analysis</w:t>
      </w:r>
      <w:r w:rsidRPr="0008321D">
        <w:rPr>
          <w:rFonts w:ascii="Century Gothic" w:hAnsi="Century Gothic" w:cs="Arial"/>
          <w:sz w:val="24"/>
          <w:szCs w:val="24"/>
        </w:rPr>
        <w:t xml:space="preserve"> that you did earlier to complete this exercise.</w:t>
      </w:r>
    </w:p>
    <w:p w:rsidR="0008321D" w:rsidRDefault="0008321D" w:rsidP="005D1C29">
      <w:pPr>
        <w:spacing w:after="0" w:line="360" w:lineRule="auto"/>
        <w:jc w:val="both"/>
        <w:rPr>
          <w:rFonts w:ascii="Century Gothic" w:hAnsi="Century Gothic" w:cs="Arial"/>
          <w:sz w:val="24"/>
          <w:szCs w:val="24"/>
        </w:rPr>
      </w:pPr>
    </w:p>
    <w:p w:rsidR="0008321D" w:rsidRDefault="0008321D" w:rsidP="005D1C29">
      <w:pPr>
        <w:spacing w:after="0" w:line="360" w:lineRule="auto"/>
        <w:jc w:val="both"/>
        <w:rPr>
          <w:rFonts w:ascii="Century Gothic" w:hAnsi="Century Gothic" w:cs="Arial"/>
          <w:sz w:val="24"/>
          <w:szCs w:val="24"/>
        </w:rPr>
      </w:pPr>
      <w:r>
        <w:rPr>
          <w:rFonts w:ascii="Century Gothic" w:hAnsi="Century Gothic" w:cs="Arial"/>
          <w:noProof/>
          <w:sz w:val="24"/>
          <w:szCs w:val="24"/>
          <w:lang w:eastAsia="en-ZA"/>
        </w:rPr>
        <w:drawing>
          <wp:inline distT="0" distB="0" distL="0" distR="0" wp14:anchorId="3BA341BD">
            <wp:extent cx="5644559"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492" cy="3737063"/>
                    </a:xfrm>
                    <a:prstGeom prst="rect">
                      <a:avLst/>
                    </a:prstGeom>
                    <a:noFill/>
                  </pic:spPr>
                </pic:pic>
              </a:graphicData>
            </a:graphic>
          </wp:inline>
        </w:drawing>
      </w:r>
    </w:p>
    <w:p w:rsidR="0008321D" w:rsidRDefault="0008321D" w:rsidP="005D1C29">
      <w:pPr>
        <w:spacing w:after="0" w:line="360" w:lineRule="auto"/>
        <w:jc w:val="both"/>
        <w:rPr>
          <w:rFonts w:ascii="Century Gothic" w:hAnsi="Century Gothic" w:cs="Arial"/>
          <w:sz w:val="24"/>
          <w:szCs w:val="24"/>
        </w:rPr>
      </w:pPr>
    </w:p>
    <w:p w:rsidR="00265391" w:rsidRDefault="00265391" w:rsidP="00265391">
      <w:pPr>
        <w:pStyle w:val="Heading1"/>
        <w:pageBreakBefore w:val="0"/>
        <w:spacing w:after="240"/>
        <w:ind w:left="431" w:hanging="431"/>
        <w:rPr>
          <w:rFonts w:ascii="Century Gothic" w:hAnsi="Century Gothic"/>
          <w:noProof/>
          <w:szCs w:val="24"/>
          <w:lang w:eastAsia="en-ZA"/>
        </w:rPr>
      </w:pPr>
      <w:r>
        <w:rPr>
          <w:rFonts w:ascii="Century Gothic" w:hAnsi="Century Gothic"/>
          <w:noProof/>
          <w:szCs w:val="24"/>
          <w:lang w:eastAsia="en-ZA"/>
        </w:rPr>
        <w:lastRenderedPageBreak/>
        <w:t>ADDRESSING OPPORTUNITIES IDENTIFIED FROM TCO A</w:t>
      </w:r>
      <w:r w:rsidRPr="006F072B">
        <w:rPr>
          <w:rFonts w:ascii="Century Gothic" w:hAnsi="Century Gothic"/>
          <w:noProof/>
          <w:szCs w:val="24"/>
          <w:lang w:eastAsia="en-ZA"/>
        </w:rPr>
        <w:t>NALYSIS</w:t>
      </w:r>
    </w:p>
    <w:p w:rsidR="00265391" w:rsidRPr="00265391" w:rsidRDefault="009D5DCD" w:rsidP="00265391">
      <w:pPr>
        <w:jc w:val="both"/>
        <w:rPr>
          <w:rFonts w:ascii="Century Gothic" w:hAnsi="Century Gothic" w:cs="Arial"/>
          <w:sz w:val="24"/>
          <w:szCs w:val="24"/>
        </w:rPr>
      </w:pPr>
      <w:r>
        <w:rPr>
          <w:rFonts w:ascii="Century Gothic" w:hAnsi="Century Gothic" w:cs="Arial"/>
          <w:sz w:val="24"/>
          <w:szCs w:val="24"/>
        </w:rPr>
        <w:t xml:space="preserve">Opportunities identified from </w:t>
      </w:r>
      <w:r w:rsidR="00265391" w:rsidRPr="00265391">
        <w:rPr>
          <w:rFonts w:ascii="Century Gothic" w:hAnsi="Century Gothic" w:cs="Arial"/>
          <w:sz w:val="24"/>
          <w:szCs w:val="24"/>
        </w:rPr>
        <w:t xml:space="preserve">Total Cost of Ownership </w:t>
      </w:r>
      <w:r>
        <w:rPr>
          <w:rFonts w:ascii="Century Gothic" w:hAnsi="Century Gothic" w:cs="Arial"/>
          <w:sz w:val="24"/>
          <w:szCs w:val="24"/>
        </w:rPr>
        <w:t xml:space="preserve">analysis </w:t>
      </w:r>
      <w:r w:rsidR="00265391" w:rsidRPr="00265391">
        <w:rPr>
          <w:rFonts w:ascii="Century Gothic" w:hAnsi="Century Gothic" w:cs="Arial"/>
          <w:sz w:val="24"/>
          <w:szCs w:val="24"/>
        </w:rPr>
        <w:t>can be addressed through four (4) main levers:</w:t>
      </w:r>
    </w:p>
    <w:p w:rsidR="00265391" w:rsidRPr="009D5DCD" w:rsidRDefault="00265391" w:rsidP="009D5DCD">
      <w:pPr>
        <w:pStyle w:val="Heading2"/>
        <w:rPr>
          <w:rFonts w:ascii="Century Gothic" w:hAnsi="Century Gothic"/>
          <w:noProof/>
          <w:lang w:eastAsia="en-ZA"/>
        </w:rPr>
      </w:pPr>
      <w:r w:rsidRPr="009D5DCD">
        <w:rPr>
          <w:rFonts w:ascii="Century Gothic" w:hAnsi="Century Gothic"/>
          <w:noProof/>
          <w:lang w:eastAsia="en-ZA"/>
        </w:rPr>
        <w:t>Functional Excellence</w:t>
      </w:r>
    </w:p>
    <w:p w:rsidR="00265391" w:rsidRPr="00265391" w:rsidRDefault="00265391" w:rsidP="00A80ECD">
      <w:pPr>
        <w:pStyle w:val="ListParagraph"/>
        <w:numPr>
          <w:ilvl w:val="0"/>
          <w:numId w:val="5"/>
        </w:numPr>
        <w:jc w:val="both"/>
        <w:rPr>
          <w:rFonts w:ascii="Century Gothic" w:hAnsi="Century Gothic" w:cs="Arial"/>
          <w:sz w:val="24"/>
          <w:szCs w:val="24"/>
        </w:rPr>
      </w:pPr>
      <w:r w:rsidRPr="00265391">
        <w:rPr>
          <w:rFonts w:ascii="Century Gothic" w:hAnsi="Century Gothic" w:cs="Arial"/>
          <w:sz w:val="24"/>
          <w:szCs w:val="24"/>
        </w:rPr>
        <w:t xml:space="preserve">Exploit buying power </w:t>
      </w:r>
    </w:p>
    <w:p w:rsidR="00265391" w:rsidRPr="00265391" w:rsidRDefault="00265391" w:rsidP="00A80ECD">
      <w:pPr>
        <w:pStyle w:val="ListParagraph"/>
        <w:numPr>
          <w:ilvl w:val="0"/>
          <w:numId w:val="5"/>
        </w:numPr>
        <w:jc w:val="both"/>
        <w:rPr>
          <w:rFonts w:ascii="Century Gothic" w:hAnsi="Century Gothic" w:cs="Arial"/>
          <w:sz w:val="24"/>
          <w:szCs w:val="24"/>
        </w:rPr>
      </w:pPr>
      <w:r w:rsidRPr="00265391">
        <w:rPr>
          <w:rFonts w:ascii="Century Gothic" w:hAnsi="Century Gothic" w:cs="Arial"/>
          <w:sz w:val="24"/>
          <w:szCs w:val="24"/>
        </w:rPr>
        <w:t>Increase levels of competitive bidding</w:t>
      </w:r>
    </w:p>
    <w:p w:rsidR="00265391" w:rsidRPr="00265391" w:rsidRDefault="00265391" w:rsidP="00A80ECD">
      <w:pPr>
        <w:pStyle w:val="ListParagraph"/>
        <w:numPr>
          <w:ilvl w:val="0"/>
          <w:numId w:val="5"/>
        </w:numPr>
        <w:jc w:val="both"/>
        <w:rPr>
          <w:rFonts w:ascii="Century Gothic" w:hAnsi="Century Gothic" w:cs="Arial"/>
          <w:sz w:val="24"/>
          <w:szCs w:val="24"/>
        </w:rPr>
      </w:pPr>
      <w:r w:rsidRPr="00265391">
        <w:rPr>
          <w:rFonts w:ascii="Century Gothic" w:hAnsi="Century Gothic" w:cs="Arial"/>
          <w:sz w:val="24"/>
          <w:szCs w:val="24"/>
        </w:rPr>
        <w:t>Utilise strategic suppliers</w:t>
      </w:r>
    </w:p>
    <w:p w:rsidR="00265391" w:rsidRPr="00265391" w:rsidRDefault="00265391" w:rsidP="00A80ECD">
      <w:pPr>
        <w:pStyle w:val="ListParagraph"/>
        <w:numPr>
          <w:ilvl w:val="0"/>
          <w:numId w:val="5"/>
        </w:numPr>
        <w:jc w:val="both"/>
        <w:rPr>
          <w:rFonts w:ascii="Century Gothic" w:hAnsi="Century Gothic" w:cs="Arial"/>
          <w:sz w:val="24"/>
          <w:szCs w:val="24"/>
        </w:rPr>
      </w:pPr>
      <w:r w:rsidRPr="00265391">
        <w:rPr>
          <w:rFonts w:ascii="Century Gothic" w:hAnsi="Century Gothic" w:cs="Arial"/>
          <w:sz w:val="24"/>
          <w:szCs w:val="24"/>
        </w:rPr>
        <w:t xml:space="preserve">Pool purchases across </w:t>
      </w:r>
      <w:r w:rsidR="009D5DCD">
        <w:rPr>
          <w:rFonts w:ascii="Century Gothic" w:hAnsi="Century Gothic" w:cs="Arial"/>
          <w:sz w:val="24"/>
          <w:szCs w:val="24"/>
        </w:rPr>
        <w:t>departments</w:t>
      </w:r>
    </w:p>
    <w:p w:rsidR="00265391" w:rsidRPr="00265391" w:rsidRDefault="00265391" w:rsidP="00A80ECD">
      <w:pPr>
        <w:pStyle w:val="ListParagraph"/>
        <w:numPr>
          <w:ilvl w:val="0"/>
          <w:numId w:val="5"/>
        </w:numPr>
        <w:jc w:val="both"/>
        <w:rPr>
          <w:rFonts w:ascii="Century Gothic" w:hAnsi="Century Gothic" w:cs="Arial"/>
          <w:sz w:val="24"/>
          <w:szCs w:val="24"/>
        </w:rPr>
      </w:pPr>
      <w:r w:rsidRPr="00265391">
        <w:rPr>
          <w:rFonts w:ascii="Century Gothic" w:hAnsi="Century Gothic" w:cs="Arial"/>
          <w:sz w:val="24"/>
          <w:szCs w:val="24"/>
        </w:rPr>
        <w:t xml:space="preserve">Capture savings in </w:t>
      </w:r>
      <w:r w:rsidR="009D5DCD">
        <w:rPr>
          <w:rFonts w:ascii="Century Gothic" w:hAnsi="Century Gothic" w:cs="Arial"/>
          <w:sz w:val="24"/>
          <w:szCs w:val="24"/>
        </w:rPr>
        <w:t>departmental</w:t>
      </w:r>
      <w:r w:rsidRPr="00265391">
        <w:rPr>
          <w:rFonts w:ascii="Century Gothic" w:hAnsi="Century Gothic" w:cs="Arial"/>
          <w:sz w:val="24"/>
          <w:szCs w:val="24"/>
        </w:rPr>
        <w:t xml:space="preserve"> spend areas</w:t>
      </w:r>
    </w:p>
    <w:p w:rsidR="00265391" w:rsidRPr="009D5DCD" w:rsidRDefault="00265391" w:rsidP="009D5DCD">
      <w:pPr>
        <w:pStyle w:val="Heading2"/>
        <w:rPr>
          <w:rFonts w:ascii="Century Gothic" w:hAnsi="Century Gothic"/>
          <w:noProof/>
          <w:lang w:eastAsia="en-ZA"/>
        </w:rPr>
      </w:pPr>
      <w:r w:rsidRPr="009D5DCD">
        <w:rPr>
          <w:rFonts w:ascii="Century Gothic" w:hAnsi="Century Gothic"/>
          <w:noProof/>
          <w:lang w:eastAsia="en-ZA"/>
        </w:rPr>
        <w:t>Cross-functional Integration</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Alter specifications and reduce variants</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Change processes to allow for product substitution</w:t>
      </w:r>
    </w:p>
    <w:p w:rsid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Reduce usage/dem</w:t>
      </w:r>
      <w:r>
        <w:rPr>
          <w:rFonts w:ascii="Century Gothic" w:hAnsi="Century Gothic" w:cs="Arial"/>
          <w:sz w:val="24"/>
          <w:szCs w:val="24"/>
        </w:rPr>
        <w:t xml:space="preserve">and for high-cost </w:t>
      </w:r>
      <w:r w:rsidR="009D5DCD">
        <w:rPr>
          <w:rFonts w:ascii="Century Gothic" w:hAnsi="Century Gothic" w:cs="Arial"/>
          <w:sz w:val="24"/>
          <w:szCs w:val="24"/>
        </w:rPr>
        <w:t>commodities</w:t>
      </w:r>
    </w:p>
    <w:p w:rsidR="00265391" w:rsidRPr="009D5DCD" w:rsidRDefault="00265391" w:rsidP="009D5DCD">
      <w:pPr>
        <w:pStyle w:val="Heading2"/>
        <w:rPr>
          <w:rFonts w:ascii="Century Gothic" w:hAnsi="Century Gothic"/>
          <w:noProof/>
          <w:lang w:eastAsia="en-ZA"/>
        </w:rPr>
      </w:pPr>
      <w:r w:rsidRPr="009D5DCD">
        <w:rPr>
          <w:rFonts w:ascii="Century Gothic" w:hAnsi="Century Gothic"/>
          <w:noProof/>
          <w:lang w:eastAsia="en-ZA"/>
        </w:rPr>
        <w:t>Organisational Capacity Building</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Create purchasing/</w:t>
      </w:r>
      <w:r w:rsidR="009D5DCD">
        <w:rPr>
          <w:rFonts w:ascii="Century Gothic" w:hAnsi="Century Gothic" w:cs="Arial"/>
          <w:sz w:val="24"/>
          <w:szCs w:val="24"/>
        </w:rPr>
        <w:t>category specialists</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Redesign Organisational linkages and incentives to ensure ongoing change</w:t>
      </w:r>
    </w:p>
    <w:p w:rsidR="009D5DCD" w:rsidRPr="009D5DCD" w:rsidRDefault="00265391" w:rsidP="009D5DCD">
      <w:pPr>
        <w:pStyle w:val="ListParagraph"/>
        <w:numPr>
          <w:ilvl w:val="0"/>
          <w:numId w:val="6"/>
        </w:numPr>
        <w:jc w:val="both"/>
        <w:rPr>
          <w:rFonts w:ascii="Century Gothic" w:hAnsi="Century Gothic" w:cs="Arial"/>
          <w:noProof/>
          <w:sz w:val="24"/>
          <w:szCs w:val="28"/>
          <w:lang w:eastAsia="en-ZA"/>
        </w:rPr>
      </w:pPr>
      <w:r w:rsidRPr="009D5DCD">
        <w:rPr>
          <w:rFonts w:ascii="Century Gothic" w:hAnsi="Century Gothic" w:cs="Arial"/>
          <w:sz w:val="24"/>
          <w:szCs w:val="24"/>
        </w:rPr>
        <w:t xml:space="preserve">Integrate purchasing to </w:t>
      </w:r>
      <w:r w:rsidR="009D5DCD">
        <w:rPr>
          <w:rFonts w:ascii="Century Gothic" w:hAnsi="Century Gothic" w:cs="Arial"/>
          <w:sz w:val="24"/>
          <w:szCs w:val="24"/>
        </w:rPr>
        <w:t>service delivery</w:t>
      </w:r>
      <w:r w:rsidRPr="009D5DCD">
        <w:rPr>
          <w:rFonts w:ascii="Century Gothic" w:hAnsi="Century Gothic" w:cs="Arial"/>
          <w:sz w:val="24"/>
          <w:szCs w:val="24"/>
        </w:rPr>
        <w:t xml:space="preserve"> function </w:t>
      </w:r>
    </w:p>
    <w:p w:rsidR="00265391" w:rsidRPr="009D5DCD" w:rsidRDefault="00265391" w:rsidP="009D5DCD">
      <w:pPr>
        <w:pStyle w:val="Heading2"/>
        <w:rPr>
          <w:rFonts w:ascii="Century Gothic" w:hAnsi="Century Gothic"/>
          <w:noProof/>
          <w:lang w:eastAsia="en-ZA"/>
        </w:rPr>
      </w:pPr>
      <w:r w:rsidRPr="009D5DCD">
        <w:rPr>
          <w:rFonts w:ascii="Century Gothic" w:hAnsi="Century Gothic"/>
          <w:noProof/>
          <w:lang w:eastAsia="en-ZA"/>
        </w:rPr>
        <w:t>Supplier Integration</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 xml:space="preserve">Develop integrated strategic partnerships </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Redesign joint operational procedures</w:t>
      </w:r>
    </w:p>
    <w:p w:rsidR="00265391" w:rsidRPr="00265391" w:rsidRDefault="00265391" w:rsidP="00A80ECD">
      <w:pPr>
        <w:pStyle w:val="ListParagraph"/>
        <w:numPr>
          <w:ilvl w:val="0"/>
          <w:numId w:val="6"/>
        </w:numPr>
        <w:jc w:val="both"/>
        <w:rPr>
          <w:rFonts w:ascii="Century Gothic" w:hAnsi="Century Gothic" w:cs="Arial"/>
          <w:sz w:val="24"/>
          <w:szCs w:val="24"/>
        </w:rPr>
      </w:pPr>
      <w:r w:rsidRPr="00265391">
        <w:rPr>
          <w:rFonts w:ascii="Century Gothic" w:hAnsi="Century Gothic" w:cs="Arial"/>
          <w:sz w:val="24"/>
          <w:szCs w:val="24"/>
        </w:rPr>
        <w:t>Reassess make vs. buy decisions</w:t>
      </w:r>
    </w:p>
    <w:p w:rsidR="00265391" w:rsidRPr="00265391" w:rsidRDefault="00265391" w:rsidP="00265391">
      <w:pPr>
        <w:jc w:val="both"/>
        <w:rPr>
          <w:rFonts w:ascii="Century Gothic" w:hAnsi="Century Gothic" w:cs="Arial"/>
          <w:sz w:val="24"/>
          <w:szCs w:val="24"/>
        </w:rPr>
      </w:pPr>
    </w:p>
    <w:p w:rsidR="009F1FD3" w:rsidRPr="009F1FD3" w:rsidRDefault="009F1FD3" w:rsidP="00265391">
      <w:pPr>
        <w:jc w:val="both"/>
        <w:rPr>
          <w:rFonts w:ascii="Century Gothic" w:hAnsi="Century Gothic" w:cs="Arial"/>
          <w:sz w:val="24"/>
          <w:szCs w:val="24"/>
        </w:rPr>
      </w:pPr>
    </w:p>
    <w:sectPr w:rsidR="009F1FD3" w:rsidRPr="009F1FD3" w:rsidSect="00E07AF1">
      <w:headerReference w:type="default" r:id="rId12"/>
      <w:footerReference w:type="default" r:id="rId13"/>
      <w:headerReference w:type="first" r:id="rId14"/>
      <w:footerReference w:type="first" r:id="rId15"/>
      <w:pgSz w:w="11906" w:h="16838"/>
      <w:pgMar w:top="1135" w:right="1440" w:bottom="1440" w:left="1440" w:header="993" w:footer="97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CFF" w:rsidRDefault="00CD7CFF" w:rsidP="00777C4E">
      <w:pPr>
        <w:spacing w:after="0" w:line="240" w:lineRule="auto"/>
      </w:pPr>
      <w:r>
        <w:separator/>
      </w:r>
    </w:p>
  </w:endnote>
  <w:endnote w:type="continuationSeparator" w:id="0">
    <w:p w:rsidR="00CD7CFF" w:rsidRDefault="00CD7CFF" w:rsidP="007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Condensed">
    <w:charset w:val="4D"/>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391" w:rsidRDefault="00265391"/>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26"/>
      <w:gridCol w:w="8330"/>
    </w:tblGrid>
    <w:tr w:rsidR="00B4178F" w:rsidTr="003656A1">
      <w:tc>
        <w:tcPr>
          <w:tcW w:w="500" w:type="pct"/>
          <w:tcBorders>
            <w:top w:val="single" w:sz="4" w:space="0" w:color="943634"/>
          </w:tcBorders>
          <w:shd w:val="clear" w:color="auto" w:fill="943634"/>
        </w:tcPr>
        <w:p w:rsidR="00B4178F" w:rsidRPr="00551670" w:rsidRDefault="00B4178F" w:rsidP="003656A1">
          <w:pPr>
            <w:pStyle w:val="Footer"/>
            <w:jc w:val="center"/>
            <w:rPr>
              <w:b/>
              <w:bCs/>
              <w:color w:val="FFFFFF"/>
            </w:rPr>
          </w:pPr>
          <w:r w:rsidRPr="00551670">
            <w:fldChar w:fldCharType="begin"/>
          </w:r>
          <w:r>
            <w:instrText xml:space="preserve"> PAGE   \* MERGEFORMAT </w:instrText>
          </w:r>
          <w:r w:rsidRPr="00551670">
            <w:fldChar w:fldCharType="separate"/>
          </w:r>
          <w:r w:rsidR="007E6D55" w:rsidRPr="007E6D55">
            <w:rPr>
              <w:noProof/>
              <w:color w:val="FFFFFF"/>
            </w:rPr>
            <w:t>3</w:t>
          </w:r>
          <w:r w:rsidRPr="00551670">
            <w:rPr>
              <w:noProof/>
              <w:color w:val="FFFFFF"/>
            </w:rPr>
            <w:fldChar w:fldCharType="end"/>
          </w:r>
        </w:p>
      </w:tc>
      <w:tc>
        <w:tcPr>
          <w:tcW w:w="4500" w:type="pct"/>
          <w:tcBorders>
            <w:top w:val="single" w:sz="4" w:space="0" w:color="auto"/>
          </w:tcBorders>
        </w:tcPr>
        <w:p w:rsidR="00B4178F" w:rsidRDefault="00B4178F" w:rsidP="00E07AF1">
          <w:pPr>
            <w:pStyle w:val="Footer"/>
          </w:pPr>
          <w:r>
            <w:t xml:space="preserve">SPF Good Practice Guide </w:t>
          </w:r>
          <w:r w:rsidR="00873518">
            <w:t>–</w:t>
          </w:r>
          <w:r>
            <w:t xml:space="preserve"> </w:t>
          </w:r>
          <w:r w:rsidR="00265391">
            <w:rPr>
              <w:lang w:val="en-US"/>
            </w:rPr>
            <w:t>TCO</w:t>
          </w:r>
          <w:r w:rsidR="00873518">
            <w:rPr>
              <w:lang w:val="en-US"/>
            </w:rPr>
            <w:t xml:space="preserve"> </w:t>
          </w:r>
          <w:r w:rsidR="00E07AF1">
            <w:rPr>
              <w:lang w:val="en-US"/>
            </w:rPr>
            <w:t>Analysis</w:t>
          </w:r>
        </w:p>
      </w:tc>
    </w:tr>
  </w:tbl>
  <w:p w:rsidR="00B4178F" w:rsidRDefault="00B4178F" w:rsidP="00B4178F">
    <w:pPr>
      <w:pStyle w:val="Footer"/>
    </w:pPr>
    <w:r>
      <w:tab/>
    </w:r>
    <w:r>
      <w:tab/>
      <w:t>Last Updated:  March 2015</w:t>
    </w:r>
  </w:p>
  <w:p w:rsidR="00B4178F" w:rsidRDefault="00B41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 w:type="dxa"/>
      <w:tblCellMar>
        <w:top w:w="72" w:type="dxa"/>
        <w:left w:w="115" w:type="dxa"/>
        <w:bottom w:w="72" w:type="dxa"/>
        <w:right w:w="115" w:type="dxa"/>
      </w:tblCellMar>
      <w:tblLook w:val="04A0" w:firstRow="1" w:lastRow="0" w:firstColumn="1" w:lastColumn="0" w:noHBand="0" w:noVBand="1"/>
    </w:tblPr>
    <w:tblGrid>
      <w:gridCol w:w="926"/>
      <w:gridCol w:w="8330"/>
    </w:tblGrid>
    <w:tr w:rsidR="00E53737" w:rsidTr="00232D23">
      <w:tc>
        <w:tcPr>
          <w:tcW w:w="500" w:type="pct"/>
          <w:tcBorders>
            <w:top w:val="single" w:sz="4" w:space="0" w:color="943634"/>
          </w:tcBorders>
          <w:shd w:val="clear" w:color="auto" w:fill="943634"/>
        </w:tcPr>
        <w:p w:rsidR="00E53737" w:rsidRPr="00551670" w:rsidRDefault="00E53737" w:rsidP="00232D23">
          <w:pPr>
            <w:pStyle w:val="Footer"/>
            <w:jc w:val="center"/>
            <w:rPr>
              <w:b/>
              <w:bCs/>
              <w:color w:val="FFFFFF"/>
            </w:rPr>
          </w:pPr>
          <w:r w:rsidRPr="00551670">
            <w:fldChar w:fldCharType="begin"/>
          </w:r>
          <w:r>
            <w:instrText xml:space="preserve"> PAGE   \* MERGEFORMAT </w:instrText>
          </w:r>
          <w:r w:rsidRPr="00551670">
            <w:fldChar w:fldCharType="separate"/>
          </w:r>
          <w:r w:rsidR="00E07AF1" w:rsidRPr="00E07AF1">
            <w:rPr>
              <w:noProof/>
              <w:color w:val="FFFFFF"/>
            </w:rPr>
            <w:t>1</w:t>
          </w:r>
          <w:r w:rsidRPr="00551670">
            <w:rPr>
              <w:noProof/>
              <w:color w:val="FFFFFF"/>
            </w:rPr>
            <w:fldChar w:fldCharType="end"/>
          </w:r>
        </w:p>
      </w:tc>
      <w:tc>
        <w:tcPr>
          <w:tcW w:w="4500" w:type="pct"/>
          <w:tcBorders>
            <w:top w:val="single" w:sz="4" w:space="0" w:color="auto"/>
          </w:tcBorders>
        </w:tcPr>
        <w:p w:rsidR="00E53737" w:rsidRDefault="00E53737" w:rsidP="00E07AF1">
          <w:pPr>
            <w:pStyle w:val="Footer"/>
          </w:pPr>
          <w:r>
            <w:t xml:space="preserve">SPF Good Practice Guide – </w:t>
          </w:r>
          <w:r w:rsidR="009F1FD3">
            <w:rPr>
              <w:lang w:val="en-US"/>
            </w:rPr>
            <w:t>TCO</w:t>
          </w:r>
          <w:r>
            <w:rPr>
              <w:lang w:val="en-US"/>
            </w:rPr>
            <w:t xml:space="preserve"> A</w:t>
          </w:r>
          <w:r w:rsidR="00E07AF1">
            <w:rPr>
              <w:lang w:val="en-US"/>
            </w:rPr>
            <w:t>nalysis</w:t>
          </w:r>
        </w:p>
      </w:tc>
    </w:tr>
  </w:tbl>
  <w:p w:rsidR="00E53737" w:rsidRDefault="00E5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CFF" w:rsidRDefault="00CD7CFF" w:rsidP="00777C4E">
      <w:pPr>
        <w:spacing w:after="0" w:line="240" w:lineRule="auto"/>
      </w:pPr>
      <w:r>
        <w:separator/>
      </w:r>
    </w:p>
  </w:footnote>
  <w:footnote w:type="continuationSeparator" w:id="0">
    <w:p w:rsidR="00CD7CFF" w:rsidRDefault="00CD7CFF" w:rsidP="0077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369"/>
      <w:gridCol w:w="4887"/>
    </w:tblGrid>
    <w:tr w:rsidR="00B4178F" w:rsidRPr="00551670" w:rsidTr="003656A1">
      <w:tc>
        <w:tcPr>
          <w:tcW w:w="2360" w:type="pct"/>
          <w:tcBorders>
            <w:bottom w:val="single" w:sz="4" w:space="0" w:color="943634"/>
          </w:tcBorders>
          <w:shd w:val="clear" w:color="auto" w:fill="943634"/>
          <w:vAlign w:val="bottom"/>
        </w:tcPr>
        <w:p w:rsidR="007E6D55" w:rsidRDefault="007E6D55" w:rsidP="003656A1">
          <w:pPr>
            <w:pStyle w:val="Header"/>
            <w:rPr>
              <w:b/>
              <w:color w:val="FFFFFF"/>
              <w:sz w:val="32"/>
            </w:rPr>
          </w:pPr>
          <w:r>
            <w:rPr>
              <w:b/>
              <w:color w:val="FFFFFF"/>
              <w:sz w:val="32"/>
            </w:rPr>
            <w:t>2A(4.3)</w:t>
          </w:r>
        </w:p>
        <w:p w:rsidR="00B4178F" w:rsidRPr="00551670" w:rsidRDefault="00B4178F" w:rsidP="003656A1">
          <w:pPr>
            <w:pStyle w:val="Header"/>
            <w:rPr>
              <w:b/>
              <w:color w:val="FFFFFF"/>
              <w:sz w:val="32"/>
            </w:rPr>
          </w:pPr>
          <w:r w:rsidRPr="00551670">
            <w:rPr>
              <w:b/>
              <w:color w:val="FFFFFF"/>
              <w:sz w:val="32"/>
            </w:rPr>
            <w:t>SPF GOOD PRACTICE GUIDE</w:t>
          </w:r>
        </w:p>
      </w:tc>
      <w:tc>
        <w:tcPr>
          <w:tcW w:w="2640" w:type="pct"/>
          <w:tcBorders>
            <w:bottom w:val="single" w:sz="4" w:space="0" w:color="auto"/>
          </w:tcBorders>
          <w:vAlign w:val="bottom"/>
        </w:tcPr>
        <w:p w:rsidR="00B4178F" w:rsidRPr="00551670" w:rsidRDefault="006112CE" w:rsidP="00E07AF1">
          <w:pPr>
            <w:pStyle w:val="Header"/>
            <w:jc w:val="center"/>
            <w:rPr>
              <w:b/>
              <w:color w:val="76923C"/>
              <w:sz w:val="32"/>
            </w:rPr>
          </w:pPr>
          <w:r>
            <w:rPr>
              <w:b/>
              <w:bCs/>
              <w:caps/>
              <w:sz w:val="32"/>
              <w:lang w:val="en-US"/>
            </w:rPr>
            <w:t>T</w:t>
          </w:r>
          <w:r w:rsidR="00E07AF1">
            <w:rPr>
              <w:b/>
              <w:bCs/>
              <w:caps/>
              <w:sz w:val="32"/>
              <w:lang w:val="en-US"/>
            </w:rPr>
            <w:t xml:space="preserve">otal </w:t>
          </w:r>
          <w:r>
            <w:rPr>
              <w:b/>
              <w:bCs/>
              <w:caps/>
              <w:sz w:val="32"/>
              <w:lang w:val="en-US"/>
            </w:rPr>
            <w:t>CO</w:t>
          </w:r>
          <w:r w:rsidR="00E07AF1">
            <w:rPr>
              <w:b/>
              <w:bCs/>
              <w:caps/>
              <w:sz w:val="32"/>
              <w:lang w:val="en-US"/>
            </w:rPr>
            <w:t>st of ownership (tco)</w:t>
          </w:r>
          <w:r w:rsidR="00BE5227">
            <w:rPr>
              <w:b/>
              <w:bCs/>
              <w:caps/>
              <w:sz w:val="32"/>
              <w:lang w:val="en-US"/>
            </w:rPr>
            <w:t xml:space="preserve"> </w:t>
          </w:r>
          <w:r w:rsidR="00B4178F" w:rsidRPr="00551670">
            <w:rPr>
              <w:b/>
              <w:bCs/>
              <w:caps/>
              <w:sz w:val="32"/>
              <w:lang w:val="en-US"/>
            </w:rPr>
            <w:t>ANALYSIS</w:t>
          </w:r>
        </w:p>
      </w:tc>
    </w:tr>
  </w:tbl>
  <w:p w:rsidR="002629E1" w:rsidRPr="002629E1" w:rsidRDefault="002629E1" w:rsidP="0026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369"/>
      <w:gridCol w:w="4887"/>
    </w:tblGrid>
    <w:tr w:rsidR="002D5741" w:rsidRPr="00551670" w:rsidTr="004B3057">
      <w:tc>
        <w:tcPr>
          <w:tcW w:w="2360" w:type="pct"/>
          <w:tcBorders>
            <w:bottom w:val="single" w:sz="4" w:space="0" w:color="943634"/>
          </w:tcBorders>
          <w:shd w:val="clear" w:color="auto" w:fill="943634"/>
          <w:vAlign w:val="bottom"/>
        </w:tcPr>
        <w:p w:rsidR="002D5741" w:rsidRPr="00551670" w:rsidRDefault="002D5741" w:rsidP="004B3057">
          <w:pPr>
            <w:pStyle w:val="Header"/>
            <w:rPr>
              <w:b/>
              <w:color w:val="FFFFFF"/>
              <w:sz w:val="32"/>
            </w:rPr>
          </w:pPr>
          <w:r w:rsidRPr="00551670">
            <w:rPr>
              <w:b/>
              <w:color w:val="FFFFFF"/>
              <w:sz w:val="32"/>
            </w:rPr>
            <w:t>SPF GOOD PRACTICE GUIDE</w:t>
          </w:r>
        </w:p>
      </w:tc>
      <w:tc>
        <w:tcPr>
          <w:tcW w:w="2640" w:type="pct"/>
          <w:tcBorders>
            <w:bottom w:val="single" w:sz="4" w:space="0" w:color="auto"/>
          </w:tcBorders>
          <w:vAlign w:val="bottom"/>
        </w:tcPr>
        <w:p w:rsidR="002D5741" w:rsidRPr="00551670" w:rsidRDefault="00CB484F" w:rsidP="00E07AF1">
          <w:pPr>
            <w:pStyle w:val="Header"/>
            <w:jc w:val="center"/>
            <w:rPr>
              <w:b/>
              <w:color w:val="76923C"/>
              <w:sz w:val="32"/>
            </w:rPr>
          </w:pPr>
          <w:r>
            <w:rPr>
              <w:b/>
              <w:bCs/>
              <w:caps/>
              <w:sz w:val="32"/>
              <w:lang w:val="en-US"/>
            </w:rPr>
            <w:t>T</w:t>
          </w:r>
          <w:r w:rsidR="00E07AF1">
            <w:rPr>
              <w:b/>
              <w:bCs/>
              <w:caps/>
              <w:sz w:val="32"/>
              <w:lang w:val="en-US"/>
            </w:rPr>
            <w:t xml:space="preserve">OTAL </w:t>
          </w:r>
          <w:r>
            <w:rPr>
              <w:b/>
              <w:bCs/>
              <w:caps/>
              <w:sz w:val="32"/>
              <w:lang w:val="en-US"/>
            </w:rPr>
            <w:t>CO</w:t>
          </w:r>
          <w:r w:rsidR="00E07AF1">
            <w:rPr>
              <w:b/>
              <w:bCs/>
              <w:caps/>
              <w:sz w:val="32"/>
              <w:lang w:val="en-US"/>
            </w:rPr>
            <w:t>ST OF OWNERSHIP (tco)</w:t>
          </w:r>
          <w:r>
            <w:rPr>
              <w:b/>
              <w:bCs/>
              <w:caps/>
              <w:sz w:val="32"/>
              <w:lang w:val="en-US"/>
            </w:rPr>
            <w:t xml:space="preserve"> Analysis</w:t>
          </w:r>
        </w:p>
      </w:tc>
    </w:tr>
  </w:tbl>
  <w:p w:rsidR="002D5741" w:rsidRDefault="002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2A00398"/>
    <w:name w:val="Outline"/>
    <w:lvl w:ilvl="0">
      <w:start w:val="1"/>
      <w:numFmt w:val="decimal"/>
      <w:lvlText w:val="%1."/>
      <w:lvlJc w:val="left"/>
      <w:pPr>
        <w:tabs>
          <w:tab w:val="num" w:pos="708"/>
        </w:tabs>
        <w:ind w:left="708" w:hanging="708"/>
      </w:pPr>
    </w:lvl>
    <w:lvl w:ilvl="1">
      <w:start w:val="1"/>
      <w:numFmt w:val="decimal"/>
      <w:lvlText w:val=".%2"/>
      <w:lvlJc w:val="left"/>
      <w:pPr>
        <w:tabs>
          <w:tab w:val="num" w:pos="1418"/>
        </w:tabs>
        <w:ind w:left="1418" w:hanging="708"/>
      </w:pPr>
    </w:lvl>
    <w:lvl w:ilvl="2">
      <w:start w:val="1"/>
      <w:numFmt w:val="decimal"/>
      <w:lvlText w:val="...%2.%3."/>
      <w:lvlJc w:val="left"/>
      <w:pPr>
        <w:tabs>
          <w:tab w:val="num" w:pos="2328"/>
        </w:tabs>
        <w:ind w:left="2328" w:hanging="708"/>
      </w:pPr>
    </w:lvl>
    <w:lvl w:ilvl="3">
      <w:start w:val="1"/>
      <w:numFmt w:val="decimal"/>
      <w:lvlText w:val="...%2.%3.%4."/>
      <w:lvlJc w:val="left"/>
      <w:pPr>
        <w:tabs>
          <w:tab w:val="num" w:pos="2832"/>
        </w:tabs>
        <w:ind w:left="2832" w:hanging="708"/>
      </w:pPr>
    </w:lvl>
    <w:lvl w:ilvl="4">
      <w:start w:val="1"/>
      <w:numFmt w:val="decimal"/>
      <w:lvlText w:val="...%2.%3.%4.%5."/>
      <w:lvlJc w:val="left"/>
      <w:pPr>
        <w:tabs>
          <w:tab w:val="num" w:pos="3540"/>
        </w:tabs>
        <w:ind w:left="3540" w:hanging="708"/>
      </w:pPr>
    </w:lvl>
    <w:lvl w:ilvl="5">
      <w:start w:val="1"/>
      <w:numFmt w:val="decimal"/>
      <w:lvlText w:val="...%2.%3.%4.%5.%6."/>
      <w:lvlJc w:val="left"/>
      <w:pPr>
        <w:tabs>
          <w:tab w:val="num" w:pos="4248"/>
        </w:tabs>
        <w:ind w:left="4248" w:hanging="708"/>
      </w:pPr>
    </w:lvl>
    <w:lvl w:ilvl="6">
      <w:start w:val="1"/>
      <w:numFmt w:val="decimal"/>
      <w:lvlText w:val="...%2.%3.%4.%5.%6.%7."/>
      <w:lvlJc w:val="left"/>
      <w:pPr>
        <w:tabs>
          <w:tab w:val="num" w:pos="4956"/>
        </w:tabs>
        <w:ind w:left="4956" w:hanging="708"/>
      </w:pPr>
    </w:lvl>
    <w:lvl w:ilvl="7">
      <w:start w:val="1"/>
      <w:numFmt w:val="decimal"/>
      <w:lvlText w:val="...%2.%3.%4.%5.%6.%7.%8."/>
      <w:lvlJc w:val="left"/>
      <w:pPr>
        <w:tabs>
          <w:tab w:val="num" w:pos="5664"/>
        </w:tabs>
        <w:ind w:left="5664" w:hanging="708"/>
      </w:pPr>
    </w:lvl>
    <w:lvl w:ilvl="8">
      <w:start w:val="1"/>
      <w:numFmt w:val="decimal"/>
      <w:lvlText w:val="...%2.%3.%4.%5.%6.%7.%8.%9."/>
      <w:lvlJc w:val="left"/>
      <w:pPr>
        <w:tabs>
          <w:tab w:val="num" w:pos="6372"/>
        </w:tabs>
        <w:ind w:left="6372" w:hanging="708"/>
      </w:pPr>
    </w:lvl>
  </w:abstractNum>
  <w:abstractNum w:abstractNumId="1">
    <w:nsid w:val="034C296E"/>
    <w:multiLevelType w:val="hybridMultilevel"/>
    <w:tmpl w:val="12C0A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2CC438D"/>
    <w:multiLevelType w:val="hybridMultilevel"/>
    <w:tmpl w:val="9B86F99C"/>
    <w:name w:val="WW8Num422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A432FF9"/>
    <w:multiLevelType w:val="multilevel"/>
    <w:tmpl w:val="4316085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1463CEB"/>
    <w:multiLevelType w:val="hybridMultilevel"/>
    <w:tmpl w:val="09F2F3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C3E25"/>
    <w:multiLevelType w:val="hybridMultilevel"/>
    <w:tmpl w:val="A504277A"/>
    <w:lvl w:ilvl="0" w:tplc="D36C9646">
      <w:numFmt w:val="bullet"/>
      <w:lvlText w:val="•"/>
      <w:lvlJc w:val="left"/>
      <w:pPr>
        <w:ind w:left="720" w:hanging="360"/>
      </w:pPr>
      <w:rPr>
        <w:rFonts w:ascii="Century Gothic" w:eastAsia="Calibr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DC6301"/>
    <w:multiLevelType w:val="hybridMultilevel"/>
    <w:tmpl w:val="C5FAA7B8"/>
    <w:lvl w:ilvl="0" w:tplc="D36C9646">
      <w:numFmt w:val="bullet"/>
      <w:lvlText w:val="•"/>
      <w:lvlJc w:val="left"/>
      <w:pPr>
        <w:ind w:left="720" w:hanging="360"/>
      </w:pPr>
      <w:rPr>
        <w:rFonts w:ascii="Century Gothic" w:eastAsia="Calibr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F00299"/>
    <w:multiLevelType w:val="hybridMultilevel"/>
    <w:tmpl w:val="C360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B3B38"/>
    <w:multiLevelType w:val="hybridMultilevel"/>
    <w:tmpl w:val="497C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64247"/>
    <w:multiLevelType w:val="hybridMultilevel"/>
    <w:tmpl w:val="8CB0E7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02E5C93"/>
    <w:multiLevelType w:val="singleLevel"/>
    <w:tmpl w:val="897618C4"/>
    <w:lvl w:ilvl="0">
      <w:start w:val="1"/>
      <w:numFmt w:val="bullet"/>
      <w:pStyle w:val="Bullet"/>
      <w:lvlText w:val=""/>
      <w:lvlJc w:val="left"/>
      <w:pPr>
        <w:tabs>
          <w:tab w:val="num" w:pos="72"/>
        </w:tabs>
        <w:ind w:left="72" w:hanging="360"/>
      </w:pPr>
      <w:rPr>
        <w:rFonts w:ascii="Symbol" w:hAnsi="Symbol" w:hint="default"/>
      </w:rPr>
    </w:lvl>
  </w:abstractNum>
  <w:abstractNum w:abstractNumId="11">
    <w:nsid w:val="49FA4841"/>
    <w:multiLevelType w:val="hybridMultilevel"/>
    <w:tmpl w:val="3840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FF3B13"/>
    <w:multiLevelType w:val="hybridMultilevel"/>
    <w:tmpl w:val="05107BA6"/>
    <w:name w:val="WW8Num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95028C"/>
    <w:multiLevelType w:val="hybridMultilevel"/>
    <w:tmpl w:val="C204C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8"/>
  </w:num>
  <w:num w:numId="5">
    <w:abstractNumId w:val="11"/>
  </w:num>
  <w:num w:numId="6">
    <w:abstractNumId w:val="7"/>
  </w:num>
  <w:num w:numId="7">
    <w:abstractNumId w:val="3"/>
  </w:num>
  <w:num w:numId="8">
    <w:abstractNumId w:val="3"/>
  </w:num>
  <w:num w:numId="9">
    <w:abstractNumId w:val="13"/>
  </w:num>
  <w:num w:numId="10">
    <w:abstractNumId w:val="3"/>
  </w:num>
  <w:num w:numId="11">
    <w:abstractNumId w:val="3"/>
  </w:num>
  <w:num w:numId="12">
    <w:abstractNumId w:val="3"/>
  </w:num>
  <w:num w:numId="13">
    <w:abstractNumId w:val="1"/>
  </w:num>
  <w:num w:numId="14">
    <w:abstractNumId w:val="5"/>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9"/>
  </w:num>
  <w:num w:numId="23">
    <w:abstractNumId w:val="6"/>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drawingGridHorizontalSpacing w:val="110"/>
  <w:displayHorizontalDrawingGridEvery w:val="2"/>
  <w:characterSpacingControl w:val="doNotCompress"/>
  <w:hdrShapeDefaults>
    <o:shapedefaults v:ext="edit" spidmax="2049">
      <o:colormru v:ext="edit" colors="#ff631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4E"/>
    <w:rsid w:val="00003656"/>
    <w:rsid w:val="00037168"/>
    <w:rsid w:val="000576C1"/>
    <w:rsid w:val="00074B15"/>
    <w:rsid w:val="0008321D"/>
    <w:rsid w:val="00085F97"/>
    <w:rsid w:val="00096801"/>
    <w:rsid w:val="000D3356"/>
    <w:rsid w:val="000E0A7F"/>
    <w:rsid w:val="000E1AC5"/>
    <w:rsid w:val="000F0375"/>
    <w:rsid w:val="000F306A"/>
    <w:rsid w:val="000F33AE"/>
    <w:rsid w:val="00112D18"/>
    <w:rsid w:val="00113B6B"/>
    <w:rsid w:val="00114379"/>
    <w:rsid w:val="00114DE4"/>
    <w:rsid w:val="00116580"/>
    <w:rsid w:val="00122809"/>
    <w:rsid w:val="00131AA7"/>
    <w:rsid w:val="00157BDC"/>
    <w:rsid w:val="001668EF"/>
    <w:rsid w:val="001947AE"/>
    <w:rsid w:val="00196299"/>
    <w:rsid w:val="001A6FBB"/>
    <w:rsid w:val="001B2F44"/>
    <w:rsid w:val="001C47DF"/>
    <w:rsid w:val="001D7E6D"/>
    <w:rsid w:val="0021377E"/>
    <w:rsid w:val="002163AF"/>
    <w:rsid w:val="002312B3"/>
    <w:rsid w:val="00255E4E"/>
    <w:rsid w:val="002629E1"/>
    <w:rsid w:val="00265391"/>
    <w:rsid w:val="00270EB0"/>
    <w:rsid w:val="00283CFA"/>
    <w:rsid w:val="002A6AD6"/>
    <w:rsid w:val="002B0828"/>
    <w:rsid w:val="002D211F"/>
    <w:rsid w:val="002D4A34"/>
    <w:rsid w:val="002D5741"/>
    <w:rsid w:val="00321BEF"/>
    <w:rsid w:val="00355BCA"/>
    <w:rsid w:val="003733A4"/>
    <w:rsid w:val="00383C8A"/>
    <w:rsid w:val="00384D07"/>
    <w:rsid w:val="003963D5"/>
    <w:rsid w:val="003A5960"/>
    <w:rsid w:val="003B692D"/>
    <w:rsid w:val="003D2833"/>
    <w:rsid w:val="003D37B4"/>
    <w:rsid w:val="00432720"/>
    <w:rsid w:val="00452D71"/>
    <w:rsid w:val="00461D36"/>
    <w:rsid w:val="004722EE"/>
    <w:rsid w:val="004B783E"/>
    <w:rsid w:val="004C6D0D"/>
    <w:rsid w:val="004E031A"/>
    <w:rsid w:val="005106B1"/>
    <w:rsid w:val="00551670"/>
    <w:rsid w:val="00554A1C"/>
    <w:rsid w:val="0056370C"/>
    <w:rsid w:val="0057538C"/>
    <w:rsid w:val="00584AED"/>
    <w:rsid w:val="00585FC1"/>
    <w:rsid w:val="00597450"/>
    <w:rsid w:val="005A4DC3"/>
    <w:rsid w:val="005D1C29"/>
    <w:rsid w:val="005D395E"/>
    <w:rsid w:val="005E1CD7"/>
    <w:rsid w:val="005E4D81"/>
    <w:rsid w:val="006112CE"/>
    <w:rsid w:val="00612994"/>
    <w:rsid w:val="00625F1B"/>
    <w:rsid w:val="0063049A"/>
    <w:rsid w:val="00631991"/>
    <w:rsid w:val="00644B61"/>
    <w:rsid w:val="00651367"/>
    <w:rsid w:val="00685997"/>
    <w:rsid w:val="0068752E"/>
    <w:rsid w:val="006B6D4D"/>
    <w:rsid w:val="006D746B"/>
    <w:rsid w:val="006F072B"/>
    <w:rsid w:val="006F7A5C"/>
    <w:rsid w:val="0073384B"/>
    <w:rsid w:val="00741218"/>
    <w:rsid w:val="00752188"/>
    <w:rsid w:val="0076421E"/>
    <w:rsid w:val="00775038"/>
    <w:rsid w:val="00776ADD"/>
    <w:rsid w:val="00777C4E"/>
    <w:rsid w:val="007A3C6D"/>
    <w:rsid w:val="007B1816"/>
    <w:rsid w:val="007B6BD8"/>
    <w:rsid w:val="007E03D9"/>
    <w:rsid w:val="007E6D55"/>
    <w:rsid w:val="007F42DE"/>
    <w:rsid w:val="008215F0"/>
    <w:rsid w:val="00840745"/>
    <w:rsid w:val="00862C26"/>
    <w:rsid w:val="00865960"/>
    <w:rsid w:val="00870EAC"/>
    <w:rsid w:val="00873518"/>
    <w:rsid w:val="008748B6"/>
    <w:rsid w:val="008A7208"/>
    <w:rsid w:val="008B6878"/>
    <w:rsid w:val="008C6530"/>
    <w:rsid w:val="008D23E3"/>
    <w:rsid w:val="008E4602"/>
    <w:rsid w:val="008F7DE8"/>
    <w:rsid w:val="00904485"/>
    <w:rsid w:val="00932E8E"/>
    <w:rsid w:val="009416F5"/>
    <w:rsid w:val="009476D9"/>
    <w:rsid w:val="009533E2"/>
    <w:rsid w:val="00977679"/>
    <w:rsid w:val="009D5DCD"/>
    <w:rsid w:val="009E0E1A"/>
    <w:rsid w:val="009F1FD3"/>
    <w:rsid w:val="009F3130"/>
    <w:rsid w:val="00A16675"/>
    <w:rsid w:val="00A32C75"/>
    <w:rsid w:val="00A45673"/>
    <w:rsid w:val="00A57DE0"/>
    <w:rsid w:val="00A60DBF"/>
    <w:rsid w:val="00A6348C"/>
    <w:rsid w:val="00A73D52"/>
    <w:rsid w:val="00A75B02"/>
    <w:rsid w:val="00A80ECD"/>
    <w:rsid w:val="00AA0E90"/>
    <w:rsid w:val="00AB6543"/>
    <w:rsid w:val="00AB7609"/>
    <w:rsid w:val="00AD0249"/>
    <w:rsid w:val="00AF0FCD"/>
    <w:rsid w:val="00AF34D7"/>
    <w:rsid w:val="00AF7322"/>
    <w:rsid w:val="00B01AD3"/>
    <w:rsid w:val="00B4178F"/>
    <w:rsid w:val="00B469E5"/>
    <w:rsid w:val="00B65DEB"/>
    <w:rsid w:val="00B76C16"/>
    <w:rsid w:val="00B81416"/>
    <w:rsid w:val="00BB2B11"/>
    <w:rsid w:val="00BE5227"/>
    <w:rsid w:val="00C06312"/>
    <w:rsid w:val="00C21FD4"/>
    <w:rsid w:val="00C356BA"/>
    <w:rsid w:val="00C41B0E"/>
    <w:rsid w:val="00C504A0"/>
    <w:rsid w:val="00C75800"/>
    <w:rsid w:val="00C77DB5"/>
    <w:rsid w:val="00C872E3"/>
    <w:rsid w:val="00CB484F"/>
    <w:rsid w:val="00CC0CC2"/>
    <w:rsid w:val="00CC2818"/>
    <w:rsid w:val="00CC5884"/>
    <w:rsid w:val="00CD7AB1"/>
    <w:rsid w:val="00CD7CFF"/>
    <w:rsid w:val="00CE4CE7"/>
    <w:rsid w:val="00CF5F66"/>
    <w:rsid w:val="00D03F0C"/>
    <w:rsid w:val="00D142F0"/>
    <w:rsid w:val="00D167D1"/>
    <w:rsid w:val="00D1786E"/>
    <w:rsid w:val="00D266FA"/>
    <w:rsid w:val="00D27A75"/>
    <w:rsid w:val="00D305D7"/>
    <w:rsid w:val="00D3475B"/>
    <w:rsid w:val="00D66D9C"/>
    <w:rsid w:val="00D70357"/>
    <w:rsid w:val="00D753F2"/>
    <w:rsid w:val="00D95BF8"/>
    <w:rsid w:val="00DC34B7"/>
    <w:rsid w:val="00DC59F2"/>
    <w:rsid w:val="00DE29EC"/>
    <w:rsid w:val="00E07695"/>
    <w:rsid w:val="00E07AF1"/>
    <w:rsid w:val="00E53737"/>
    <w:rsid w:val="00E53FA3"/>
    <w:rsid w:val="00E57D13"/>
    <w:rsid w:val="00E72400"/>
    <w:rsid w:val="00E826A1"/>
    <w:rsid w:val="00E90EE2"/>
    <w:rsid w:val="00F019BF"/>
    <w:rsid w:val="00F06068"/>
    <w:rsid w:val="00F066A3"/>
    <w:rsid w:val="00F132B2"/>
    <w:rsid w:val="00F14A0D"/>
    <w:rsid w:val="00F2124C"/>
    <w:rsid w:val="00F27FCF"/>
    <w:rsid w:val="00F3393B"/>
    <w:rsid w:val="00F6055F"/>
    <w:rsid w:val="00F60CF0"/>
    <w:rsid w:val="00F64FA1"/>
    <w:rsid w:val="00F66735"/>
    <w:rsid w:val="00F7233C"/>
    <w:rsid w:val="00F855D3"/>
    <w:rsid w:val="00FD24F9"/>
    <w:rsid w:val="00FD477C"/>
    <w:rsid w:val="00FD5352"/>
    <w:rsid w:val="00FF2E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6319"/>
    </o:shapedefaults>
    <o:shapelayout v:ext="edit">
      <o:idmap v:ext="edit" data="1"/>
    </o:shapelayout>
  </w:shapeDefaults>
  <w:decimalSymbol w:val=","/>
  <w:listSeparator w:val=";"/>
  <w15:docId w15:val="{2C6C2601-5B65-4ABA-8852-A0399297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66"/>
    <w:pPr>
      <w:spacing w:after="200" w:line="276" w:lineRule="auto"/>
    </w:pPr>
    <w:rPr>
      <w:sz w:val="22"/>
      <w:szCs w:val="22"/>
      <w:lang w:val="en-ZA"/>
    </w:rPr>
  </w:style>
  <w:style w:type="paragraph" w:styleId="Heading1">
    <w:name w:val="heading 1"/>
    <w:aliases w:val="h1,II+,I,level 1,Level 1 Head,H1,heading 1"/>
    <w:basedOn w:val="Normal"/>
    <w:next w:val="Normal"/>
    <w:link w:val="Heading1Char"/>
    <w:uiPriority w:val="9"/>
    <w:qFormat/>
    <w:rsid w:val="00A32C75"/>
    <w:pPr>
      <w:keepNext/>
      <w:pageBreakBefore/>
      <w:numPr>
        <w:numId w:val="1"/>
      </w:numPr>
      <w:tabs>
        <w:tab w:val="left" w:pos="0"/>
      </w:tabs>
      <w:spacing w:before="160" w:after="120" w:line="240" w:lineRule="auto"/>
      <w:jc w:val="both"/>
      <w:outlineLvl w:val="0"/>
    </w:pPr>
    <w:rPr>
      <w:rFonts w:ascii="Arial" w:eastAsia="Times New Roman" w:hAnsi="Arial" w:cs="Arial"/>
      <w:b/>
      <w:bCs/>
      <w:sz w:val="24"/>
      <w:szCs w:val="20"/>
    </w:rPr>
  </w:style>
  <w:style w:type="paragraph" w:styleId="Heading2">
    <w:name w:val="heading 2"/>
    <w:aliases w:val="h2,A,A.B.C.,2,Header 2,l2,Level 2 Head,Head2,chapitre,T2,heading 2"/>
    <w:basedOn w:val="Normal"/>
    <w:next w:val="Normal"/>
    <w:link w:val="Heading2Char"/>
    <w:uiPriority w:val="9"/>
    <w:qFormat/>
    <w:rsid w:val="00A32C75"/>
    <w:pPr>
      <w:keepNext/>
      <w:numPr>
        <w:ilvl w:val="1"/>
        <w:numId w:val="1"/>
      </w:numPr>
      <w:spacing w:before="320" w:after="160" w:line="240" w:lineRule="auto"/>
      <w:jc w:val="both"/>
      <w:outlineLvl w:val="1"/>
    </w:pPr>
    <w:rPr>
      <w:rFonts w:ascii="Arial" w:eastAsia="Times New Roman" w:hAnsi="Arial" w:cs="Arial"/>
      <w:b/>
      <w:bCs/>
      <w:sz w:val="24"/>
      <w:szCs w:val="28"/>
    </w:rPr>
  </w:style>
  <w:style w:type="paragraph" w:styleId="Heading3">
    <w:name w:val="heading 3"/>
    <w:aliases w:val="subhead,t3,t31,H3,3,h3,1.,Level 3 Head,heading 3, Heading 3"/>
    <w:basedOn w:val="Normal"/>
    <w:next w:val="Normal"/>
    <w:link w:val="Heading3Char"/>
    <w:uiPriority w:val="9"/>
    <w:qFormat/>
    <w:rsid w:val="00A32C75"/>
    <w:pPr>
      <w:keepNext/>
      <w:numPr>
        <w:ilvl w:val="2"/>
        <w:numId w:val="1"/>
      </w:numPr>
      <w:spacing w:before="240" w:after="120" w:line="240" w:lineRule="auto"/>
      <w:jc w:val="both"/>
      <w:outlineLvl w:val="2"/>
    </w:pPr>
    <w:rPr>
      <w:rFonts w:ascii="Arial" w:eastAsia="Times New Roman" w:hAnsi="Arial" w:cs="Arial"/>
      <w:b/>
      <w:bCs/>
      <w:sz w:val="20"/>
      <w:szCs w:val="26"/>
    </w:rPr>
  </w:style>
  <w:style w:type="paragraph" w:styleId="Heading4">
    <w:name w:val="heading 4"/>
    <w:basedOn w:val="Normal"/>
    <w:next w:val="Normal"/>
    <w:link w:val="Heading4Char"/>
    <w:uiPriority w:val="9"/>
    <w:unhideWhenUsed/>
    <w:qFormat/>
    <w:rsid w:val="00085F97"/>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A32C75"/>
    <w:pPr>
      <w:numPr>
        <w:ilvl w:val="4"/>
        <w:numId w:val="1"/>
      </w:numPr>
      <w:spacing w:before="240" w:after="60" w:line="240" w:lineRule="auto"/>
      <w:jc w:val="both"/>
      <w:outlineLvl w:val="4"/>
    </w:pPr>
    <w:rPr>
      <w:rFonts w:ascii="Arial" w:eastAsia="Times New Roman" w:hAnsi="Arial"/>
      <w:b/>
      <w:bCs/>
      <w:i/>
      <w:iCs/>
      <w:sz w:val="26"/>
      <w:szCs w:val="26"/>
    </w:rPr>
  </w:style>
  <w:style w:type="paragraph" w:styleId="Heading6">
    <w:name w:val="heading 6"/>
    <w:basedOn w:val="Normal"/>
    <w:next w:val="Normal"/>
    <w:link w:val="Heading6Char"/>
    <w:uiPriority w:val="9"/>
    <w:qFormat/>
    <w:rsid w:val="00A32C75"/>
    <w:pPr>
      <w:numPr>
        <w:ilvl w:val="5"/>
        <w:numId w:val="1"/>
      </w:numPr>
      <w:spacing w:before="240" w:after="60" w:line="240" w:lineRule="auto"/>
      <w:jc w:val="both"/>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A32C75"/>
    <w:pPr>
      <w:numPr>
        <w:ilvl w:val="6"/>
        <w:numId w:val="1"/>
      </w:numPr>
      <w:spacing w:before="240" w:after="60" w:line="240" w:lineRule="auto"/>
      <w:jc w:val="both"/>
      <w:outlineLvl w:val="6"/>
    </w:pPr>
    <w:rPr>
      <w:rFonts w:ascii="Times New Roman" w:eastAsia="Times New Roman" w:hAnsi="Times New Roman"/>
      <w:sz w:val="24"/>
      <w:szCs w:val="24"/>
    </w:rPr>
  </w:style>
  <w:style w:type="paragraph" w:styleId="Heading8">
    <w:name w:val="heading 8"/>
    <w:basedOn w:val="Normal"/>
    <w:next w:val="Normal"/>
    <w:link w:val="Heading8Char"/>
    <w:uiPriority w:val="9"/>
    <w:qFormat/>
    <w:rsid w:val="00A32C75"/>
    <w:pPr>
      <w:numPr>
        <w:ilvl w:val="7"/>
        <w:numId w:val="1"/>
      </w:numPr>
      <w:spacing w:before="240" w:after="60" w:line="240" w:lineRule="auto"/>
      <w:jc w:val="both"/>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
    <w:qFormat/>
    <w:rsid w:val="00A32C75"/>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C4E"/>
  </w:style>
  <w:style w:type="paragraph" w:styleId="Footer">
    <w:name w:val="footer"/>
    <w:basedOn w:val="Normal"/>
    <w:link w:val="FooterChar"/>
    <w:unhideWhenUsed/>
    <w:rsid w:val="007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C4E"/>
  </w:style>
  <w:style w:type="paragraph" w:customStyle="1" w:styleId="BasicParagraph">
    <w:name w:val="[Basic Paragraph]"/>
    <w:basedOn w:val="Normal"/>
    <w:uiPriority w:val="99"/>
    <w:rsid w:val="00777C4E"/>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PlaceholderText">
    <w:name w:val="Placeholder Text"/>
    <w:uiPriority w:val="99"/>
    <w:semiHidden/>
    <w:rsid w:val="00AB7609"/>
    <w:rPr>
      <w:color w:val="808080"/>
    </w:rPr>
  </w:style>
  <w:style w:type="paragraph" w:styleId="BalloonText">
    <w:name w:val="Balloon Text"/>
    <w:basedOn w:val="Normal"/>
    <w:link w:val="BalloonTextChar"/>
    <w:uiPriority w:val="99"/>
    <w:semiHidden/>
    <w:unhideWhenUsed/>
    <w:rsid w:val="00AB76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609"/>
    <w:rPr>
      <w:rFonts w:ascii="Tahoma" w:hAnsi="Tahoma" w:cs="Tahoma"/>
      <w:sz w:val="16"/>
      <w:szCs w:val="16"/>
    </w:rPr>
  </w:style>
  <w:style w:type="character" w:customStyle="1" w:styleId="Style1">
    <w:name w:val="Style1"/>
    <w:uiPriority w:val="1"/>
    <w:rsid w:val="00AB7609"/>
    <w:rPr>
      <w:rFonts w:ascii="Arial" w:hAnsi="Arial"/>
      <w:sz w:val="20"/>
    </w:rPr>
  </w:style>
  <w:style w:type="paragraph" w:styleId="ListParagraph">
    <w:name w:val="List Paragraph"/>
    <w:basedOn w:val="Normal"/>
    <w:uiPriority w:val="34"/>
    <w:qFormat/>
    <w:rsid w:val="00AF7322"/>
    <w:pPr>
      <w:ind w:left="720"/>
      <w:contextualSpacing/>
    </w:pPr>
  </w:style>
  <w:style w:type="character" w:customStyle="1" w:styleId="Heading1Char">
    <w:name w:val="Heading 1 Char"/>
    <w:aliases w:val="h1 Char,II+ Char,I Char,level 1 Char,Level 1 Head Char,H1 Char,heading 1 Char"/>
    <w:link w:val="Heading1"/>
    <w:uiPriority w:val="9"/>
    <w:rsid w:val="00A32C75"/>
    <w:rPr>
      <w:rFonts w:ascii="Arial" w:eastAsia="Times New Roman" w:hAnsi="Arial" w:cs="Arial"/>
      <w:b/>
      <w:bCs/>
      <w:sz w:val="24"/>
      <w:lang w:val="en-ZA"/>
    </w:rPr>
  </w:style>
  <w:style w:type="character" w:customStyle="1" w:styleId="Heading2Char">
    <w:name w:val="Heading 2 Char"/>
    <w:aliases w:val="h2 Char,A Char,A.B.C. Char,2 Char,Header 2 Char,l2 Char,Level 2 Head Char,Head2 Char,chapitre Char,T2 Char,heading 2 Char"/>
    <w:link w:val="Heading2"/>
    <w:uiPriority w:val="9"/>
    <w:rsid w:val="00A32C75"/>
    <w:rPr>
      <w:rFonts w:ascii="Arial" w:eastAsia="Times New Roman" w:hAnsi="Arial" w:cs="Arial"/>
      <w:b/>
      <w:bCs/>
      <w:sz w:val="24"/>
      <w:szCs w:val="28"/>
      <w:lang w:val="en-ZA"/>
    </w:rPr>
  </w:style>
  <w:style w:type="character" w:customStyle="1" w:styleId="Heading3Char">
    <w:name w:val="Heading 3 Char"/>
    <w:aliases w:val="subhead Char,t3 Char,t31 Char,H3 Char,3 Char,h3 Char,1. Char,Level 3 Head Char,heading 3 Char, Heading 3 Char"/>
    <w:link w:val="Heading3"/>
    <w:uiPriority w:val="9"/>
    <w:rsid w:val="00A32C75"/>
    <w:rPr>
      <w:rFonts w:ascii="Arial" w:eastAsia="Times New Roman" w:hAnsi="Arial" w:cs="Arial"/>
      <w:b/>
      <w:bCs/>
      <w:szCs w:val="26"/>
      <w:lang w:val="en-ZA"/>
    </w:rPr>
  </w:style>
  <w:style w:type="character" w:customStyle="1" w:styleId="Heading5Char">
    <w:name w:val="Heading 5 Char"/>
    <w:link w:val="Heading5"/>
    <w:uiPriority w:val="9"/>
    <w:rsid w:val="00A32C75"/>
    <w:rPr>
      <w:rFonts w:ascii="Arial" w:eastAsia="Times New Roman" w:hAnsi="Arial"/>
      <w:b/>
      <w:bCs/>
      <w:i/>
      <w:iCs/>
      <w:sz w:val="26"/>
      <w:szCs w:val="26"/>
      <w:lang w:val="en-ZA"/>
    </w:rPr>
  </w:style>
  <w:style w:type="character" w:customStyle="1" w:styleId="Heading6Char">
    <w:name w:val="Heading 6 Char"/>
    <w:link w:val="Heading6"/>
    <w:uiPriority w:val="9"/>
    <w:rsid w:val="00A32C75"/>
    <w:rPr>
      <w:rFonts w:ascii="Times New Roman" w:eastAsia="Times New Roman" w:hAnsi="Times New Roman"/>
      <w:b/>
      <w:bCs/>
      <w:sz w:val="22"/>
      <w:szCs w:val="22"/>
      <w:lang w:val="en-ZA"/>
    </w:rPr>
  </w:style>
  <w:style w:type="character" w:customStyle="1" w:styleId="Heading7Char">
    <w:name w:val="Heading 7 Char"/>
    <w:link w:val="Heading7"/>
    <w:uiPriority w:val="9"/>
    <w:rsid w:val="00A32C75"/>
    <w:rPr>
      <w:rFonts w:ascii="Times New Roman" w:eastAsia="Times New Roman" w:hAnsi="Times New Roman"/>
      <w:sz w:val="24"/>
      <w:szCs w:val="24"/>
      <w:lang w:val="en-ZA"/>
    </w:rPr>
  </w:style>
  <w:style w:type="character" w:customStyle="1" w:styleId="Heading8Char">
    <w:name w:val="Heading 8 Char"/>
    <w:link w:val="Heading8"/>
    <w:uiPriority w:val="9"/>
    <w:rsid w:val="00A32C75"/>
    <w:rPr>
      <w:rFonts w:ascii="Times New Roman" w:eastAsia="Times New Roman" w:hAnsi="Times New Roman"/>
      <w:i/>
      <w:iCs/>
      <w:sz w:val="24"/>
      <w:szCs w:val="24"/>
      <w:lang w:val="en-ZA"/>
    </w:rPr>
  </w:style>
  <w:style w:type="character" w:customStyle="1" w:styleId="Heading9Char">
    <w:name w:val="Heading 9 Char"/>
    <w:link w:val="Heading9"/>
    <w:uiPriority w:val="9"/>
    <w:rsid w:val="00A32C75"/>
    <w:rPr>
      <w:rFonts w:ascii="Arial" w:eastAsia="Times New Roman" w:hAnsi="Arial" w:cs="Arial"/>
      <w:sz w:val="22"/>
      <w:szCs w:val="22"/>
      <w:lang w:val="en-ZA"/>
    </w:rPr>
  </w:style>
  <w:style w:type="character" w:styleId="Hyperlink">
    <w:name w:val="Hyperlink"/>
    <w:uiPriority w:val="99"/>
    <w:unhideWhenUsed/>
    <w:rsid w:val="00D27A75"/>
    <w:rPr>
      <w:color w:val="0000FF"/>
      <w:u w:val="single"/>
    </w:rPr>
  </w:style>
  <w:style w:type="character" w:customStyle="1" w:styleId="Heading4Char">
    <w:name w:val="Heading 4 Char"/>
    <w:link w:val="Heading4"/>
    <w:uiPriority w:val="9"/>
    <w:semiHidden/>
    <w:rsid w:val="00085F97"/>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0D3356"/>
    <w:pPr>
      <w:spacing w:before="100" w:beforeAutospacing="1" w:after="100" w:afterAutospacing="1" w:line="240" w:lineRule="auto"/>
    </w:pPr>
    <w:rPr>
      <w:rFonts w:ascii="Times New Roman" w:eastAsia="Times New Roman" w:hAnsi="Times New Roman"/>
      <w:sz w:val="24"/>
      <w:szCs w:val="24"/>
      <w:lang w:eastAsia="en-ZA"/>
    </w:rPr>
  </w:style>
  <w:style w:type="character" w:styleId="FollowedHyperlink">
    <w:name w:val="FollowedHyperlink"/>
    <w:uiPriority w:val="99"/>
    <w:semiHidden/>
    <w:unhideWhenUsed/>
    <w:rsid w:val="00840745"/>
    <w:rPr>
      <w:color w:val="800080"/>
      <w:u w:val="single"/>
    </w:rPr>
  </w:style>
  <w:style w:type="table" w:styleId="TableGrid">
    <w:name w:val="Table Grid"/>
    <w:basedOn w:val="TableNormal"/>
    <w:uiPriority w:val="59"/>
    <w:rsid w:val="00116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11658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trong">
    <w:name w:val="Strong"/>
    <w:basedOn w:val="DefaultParagraphFont"/>
    <w:uiPriority w:val="22"/>
    <w:qFormat/>
    <w:rsid w:val="00904485"/>
    <w:rPr>
      <w:b/>
      <w:bCs/>
    </w:rPr>
  </w:style>
  <w:style w:type="paragraph" w:customStyle="1" w:styleId="Bullet">
    <w:name w:val="Bullet"/>
    <w:basedOn w:val="Normal"/>
    <w:rsid w:val="002629E1"/>
    <w:pPr>
      <w:numPr>
        <w:numId w:val="3"/>
      </w:numPr>
      <w:spacing w:after="0" w:line="240" w:lineRule="auto"/>
      <w:ind w:left="360"/>
      <w:jc w:val="both"/>
    </w:pPr>
    <w:rPr>
      <w:rFonts w:ascii="Arial" w:eastAsia="Times New Roman" w:hAnsi="Arial"/>
      <w:sz w:val="24"/>
      <w:szCs w:val="20"/>
    </w:rPr>
  </w:style>
  <w:style w:type="paragraph" w:customStyle="1" w:styleId="App5head">
    <w:name w:val="App5 head"/>
    <w:rsid w:val="002629E1"/>
    <w:pPr>
      <w:pBdr>
        <w:top w:val="single" w:sz="6" w:space="0" w:color="auto"/>
        <w:bottom w:val="single" w:sz="6" w:space="0" w:color="auto"/>
        <w:between w:val="single" w:sz="6" w:space="8" w:color="auto"/>
      </w:pBdr>
      <w:tabs>
        <w:tab w:val="left" w:pos="2976"/>
        <w:tab w:val="left" w:pos="5726"/>
      </w:tabs>
      <w:spacing w:before="170" w:line="280" w:lineRule="auto"/>
      <w:ind w:left="567" w:right="567"/>
    </w:pPr>
    <w:rPr>
      <w:rFonts w:ascii="Futura Condensed" w:eastAsia="Times New Roman" w:hAnsi="Futura Condensed"/>
      <w:b/>
    </w:rPr>
  </w:style>
  <w:style w:type="paragraph" w:customStyle="1" w:styleId="App5body">
    <w:name w:val="App5 body"/>
    <w:rsid w:val="002629E1"/>
    <w:pPr>
      <w:pBdr>
        <w:bottom w:val="single" w:sz="6" w:space="0" w:color="auto"/>
        <w:between w:val="single" w:sz="6" w:space="8" w:color="auto"/>
      </w:pBdr>
      <w:tabs>
        <w:tab w:val="left" w:pos="2976"/>
        <w:tab w:val="left" w:pos="5726"/>
      </w:tabs>
      <w:spacing w:before="170" w:line="260" w:lineRule="auto"/>
      <w:ind w:left="567" w:right="567"/>
    </w:pPr>
    <w:rPr>
      <w:rFonts w:ascii="Futura Condensed" w:eastAsia="Times New Roman" w:hAnsi="Futura Condensed"/>
    </w:rPr>
  </w:style>
  <w:style w:type="paragraph" w:customStyle="1" w:styleId="App5bodylast">
    <w:name w:val="App5 body last"/>
    <w:basedOn w:val="App5body"/>
    <w:next w:val="App5body"/>
    <w:rsid w:val="002629E1"/>
  </w:style>
  <w:style w:type="paragraph" w:customStyle="1" w:styleId="TableBullet1">
    <w:name w:val="Table Bullet 1"/>
    <w:basedOn w:val="Normal"/>
    <w:rsid w:val="00355BCA"/>
    <w:pPr>
      <w:spacing w:before="240" w:after="0" w:line="240" w:lineRule="auto"/>
      <w:ind w:left="1440" w:hanging="360"/>
    </w:pPr>
    <w:rPr>
      <w:rFonts w:ascii="Arial" w:eastAsia="Times New Roman" w:hAnsi="Arial"/>
      <w:sz w:val="24"/>
      <w:szCs w:val="20"/>
      <w:lang w:val="en-GB"/>
    </w:rPr>
  </w:style>
  <w:style w:type="paragraph" w:customStyle="1" w:styleId="Default">
    <w:name w:val="Default"/>
    <w:rsid w:val="0068752E"/>
    <w:pPr>
      <w:autoSpaceDE w:val="0"/>
      <w:autoSpaceDN w:val="0"/>
      <w:adjustRightInd w:val="0"/>
    </w:pPr>
    <w:rPr>
      <w:rFonts w:ascii="Garamond" w:eastAsia="Times New Roman" w:hAnsi="Garamond" w:cs="Garamond"/>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4433">
      <w:bodyDiv w:val="1"/>
      <w:marLeft w:val="0"/>
      <w:marRight w:val="0"/>
      <w:marTop w:val="0"/>
      <w:marBottom w:val="0"/>
      <w:divBdr>
        <w:top w:val="none" w:sz="0" w:space="0" w:color="auto"/>
        <w:left w:val="none" w:sz="0" w:space="0" w:color="auto"/>
        <w:bottom w:val="none" w:sz="0" w:space="0" w:color="auto"/>
        <w:right w:val="none" w:sz="0" w:space="0" w:color="auto"/>
      </w:divBdr>
    </w:div>
    <w:div w:id="421148441">
      <w:bodyDiv w:val="1"/>
      <w:marLeft w:val="0"/>
      <w:marRight w:val="0"/>
      <w:marTop w:val="0"/>
      <w:marBottom w:val="0"/>
      <w:divBdr>
        <w:top w:val="none" w:sz="0" w:space="0" w:color="auto"/>
        <w:left w:val="none" w:sz="0" w:space="0" w:color="auto"/>
        <w:bottom w:val="none" w:sz="0" w:space="0" w:color="auto"/>
        <w:right w:val="none" w:sz="0" w:space="0" w:color="auto"/>
      </w:divBdr>
      <w:divsChild>
        <w:div w:id="1384669081">
          <w:marLeft w:val="0"/>
          <w:marRight w:val="0"/>
          <w:marTop w:val="0"/>
          <w:marBottom w:val="0"/>
          <w:divBdr>
            <w:top w:val="none" w:sz="0" w:space="0" w:color="auto"/>
            <w:left w:val="none" w:sz="0" w:space="0" w:color="auto"/>
            <w:bottom w:val="none" w:sz="0" w:space="0" w:color="auto"/>
            <w:right w:val="none" w:sz="0" w:space="0" w:color="auto"/>
          </w:divBdr>
          <w:divsChild>
            <w:div w:id="1843550239">
              <w:marLeft w:val="0"/>
              <w:marRight w:val="0"/>
              <w:marTop w:val="0"/>
              <w:marBottom w:val="0"/>
              <w:divBdr>
                <w:top w:val="none" w:sz="0" w:space="0" w:color="auto"/>
                <w:left w:val="none" w:sz="0" w:space="0" w:color="auto"/>
                <w:bottom w:val="none" w:sz="0" w:space="0" w:color="auto"/>
                <w:right w:val="none" w:sz="0" w:space="0" w:color="auto"/>
              </w:divBdr>
              <w:divsChild>
                <w:div w:id="967200092">
                  <w:marLeft w:val="225"/>
                  <w:marRight w:val="75"/>
                  <w:marTop w:val="0"/>
                  <w:marBottom w:val="0"/>
                  <w:divBdr>
                    <w:top w:val="none" w:sz="0" w:space="0" w:color="auto"/>
                    <w:left w:val="none" w:sz="0" w:space="0" w:color="auto"/>
                    <w:bottom w:val="none" w:sz="0" w:space="0" w:color="auto"/>
                    <w:right w:val="none" w:sz="0" w:space="0" w:color="auto"/>
                  </w:divBdr>
                  <w:divsChild>
                    <w:div w:id="11319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08310">
      <w:bodyDiv w:val="1"/>
      <w:marLeft w:val="0"/>
      <w:marRight w:val="0"/>
      <w:marTop w:val="0"/>
      <w:marBottom w:val="0"/>
      <w:divBdr>
        <w:top w:val="none" w:sz="0" w:space="0" w:color="auto"/>
        <w:left w:val="none" w:sz="0" w:space="0" w:color="auto"/>
        <w:bottom w:val="none" w:sz="0" w:space="0" w:color="auto"/>
        <w:right w:val="none" w:sz="0" w:space="0" w:color="auto"/>
      </w:divBdr>
    </w:div>
    <w:div w:id="491263769">
      <w:bodyDiv w:val="1"/>
      <w:marLeft w:val="0"/>
      <w:marRight w:val="0"/>
      <w:marTop w:val="0"/>
      <w:marBottom w:val="0"/>
      <w:divBdr>
        <w:top w:val="none" w:sz="0" w:space="0" w:color="auto"/>
        <w:left w:val="none" w:sz="0" w:space="0" w:color="auto"/>
        <w:bottom w:val="none" w:sz="0" w:space="0" w:color="auto"/>
        <w:right w:val="none" w:sz="0" w:space="0" w:color="auto"/>
      </w:divBdr>
      <w:divsChild>
        <w:div w:id="1143808611">
          <w:marLeft w:val="547"/>
          <w:marRight w:val="0"/>
          <w:marTop w:val="0"/>
          <w:marBottom w:val="120"/>
          <w:divBdr>
            <w:top w:val="none" w:sz="0" w:space="0" w:color="auto"/>
            <w:left w:val="none" w:sz="0" w:space="0" w:color="auto"/>
            <w:bottom w:val="none" w:sz="0" w:space="0" w:color="auto"/>
            <w:right w:val="none" w:sz="0" w:space="0" w:color="auto"/>
          </w:divBdr>
        </w:div>
        <w:div w:id="621116251">
          <w:marLeft w:val="547"/>
          <w:marRight w:val="0"/>
          <w:marTop w:val="0"/>
          <w:marBottom w:val="120"/>
          <w:divBdr>
            <w:top w:val="none" w:sz="0" w:space="0" w:color="auto"/>
            <w:left w:val="none" w:sz="0" w:space="0" w:color="auto"/>
            <w:bottom w:val="none" w:sz="0" w:space="0" w:color="auto"/>
            <w:right w:val="none" w:sz="0" w:space="0" w:color="auto"/>
          </w:divBdr>
        </w:div>
        <w:div w:id="1463573823">
          <w:marLeft w:val="547"/>
          <w:marRight w:val="0"/>
          <w:marTop w:val="0"/>
          <w:marBottom w:val="120"/>
          <w:divBdr>
            <w:top w:val="none" w:sz="0" w:space="0" w:color="auto"/>
            <w:left w:val="none" w:sz="0" w:space="0" w:color="auto"/>
            <w:bottom w:val="none" w:sz="0" w:space="0" w:color="auto"/>
            <w:right w:val="none" w:sz="0" w:space="0" w:color="auto"/>
          </w:divBdr>
        </w:div>
        <w:div w:id="1373655192">
          <w:marLeft w:val="1354"/>
          <w:marRight w:val="0"/>
          <w:marTop w:val="0"/>
          <w:marBottom w:val="0"/>
          <w:divBdr>
            <w:top w:val="none" w:sz="0" w:space="0" w:color="auto"/>
            <w:left w:val="none" w:sz="0" w:space="0" w:color="auto"/>
            <w:bottom w:val="none" w:sz="0" w:space="0" w:color="auto"/>
            <w:right w:val="none" w:sz="0" w:space="0" w:color="auto"/>
          </w:divBdr>
        </w:div>
        <w:div w:id="720010215">
          <w:marLeft w:val="1354"/>
          <w:marRight w:val="0"/>
          <w:marTop w:val="0"/>
          <w:marBottom w:val="0"/>
          <w:divBdr>
            <w:top w:val="none" w:sz="0" w:space="0" w:color="auto"/>
            <w:left w:val="none" w:sz="0" w:space="0" w:color="auto"/>
            <w:bottom w:val="none" w:sz="0" w:space="0" w:color="auto"/>
            <w:right w:val="none" w:sz="0" w:space="0" w:color="auto"/>
          </w:divBdr>
        </w:div>
        <w:div w:id="1765034300">
          <w:marLeft w:val="1354"/>
          <w:marRight w:val="0"/>
          <w:marTop w:val="0"/>
          <w:marBottom w:val="120"/>
          <w:divBdr>
            <w:top w:val="none" w:sz="0" w:space="0" w:color="auto"/>
            <w:left w:val="none" w:sz="0" w:space="0" w:color="auto"/>
            <w:bottom w:val="none" w:sz="0" w:space="0" w:color="auto"/>
            <w:right w:val="none" w:sz="0" w:space="0" w:color="auto"/>
          </w:divBdr>
        </w:div>
      </w:divsChild>
    </w:div>
    <w:div w:id="496464657">
      <w:bodyDiv w:val="1"/>
      <w:marLeft w:val="0"/>
      <w:marRight w:val="0"/>
      <w:marTop w:val="0"/>
      <w:marBottom w:val="0"/>
      <w:divBdr>
        <w:top w:val="none" w:sz="0" w:space="0" w:color="auto"/>
        <w:left w:val="none" w:sz="0" w:space="0" w:color="auto"/>
        <w:bottom w:val="none" w:sz="0" w:space="0" w:color="auto"/>
        <w:right w:val="none" w:sz="0" w:space="0" w:color="auto"/>
      </w:divBdr>
      <w:divsChild>
        <w:div w:id="535973617">
          <w:marLeft w:val="0"/>
          <w:marRight w:val="0"/>
          <w:marTop w:val="450"/>
          <w:marBottom w:val="900"/>
          <w:divBdr>
            <w:top w:val="none" w:sz="0" w:space="0" w:color="auto"/>
            <w:left w:val="none" w:sz="0" w:space="0" w:color="auto"/>
            <w:bottom w:val="none" w:sz="0" w:space="0" w:color="auto"/>
            <w:right w:val="none" w:sz="0" w:space="0" w:color="auto"/>
          </w:divBdr>
          <w:divsChild>
            <w:div w:id="1576547316">
              <w:marLeft w:val="0"/>
              <w:marRight w:val="0"/>
              <w:marTop w:val="0"/>
              <w:marBottom w:val="0"/>
              <w:divBdr>
                <w:top w:val="none" w:sz="0" w:space="0" w:color="auto"/>
                <w:left w:val="none" w:sz="0" w:space="0" w:color="auto"/>
                <w:bottom w:val="none" w:sz="0" w:space="0" w:color="auto"/>
                <w:right w:val="none" w:sz="0" w:space="0" w:color="auto"/>
              </w:divBdr>
              <w:divsChild>
                <w:div w:id="1396659522">
                  <w:marLeft w:val="0"/>
                  <w:marRight w:val="0"/>
                  <w:marTop w:val="0"/>
                  <w:marBottom w:val="0"/>
                  <w:divBdr>
                    <w:top w:val="none" w:sz="0" w:space="0" w:color="auto"/>
                    <w:left w:val="none" w:sz="0" w:space="0" w:color="auto"/>
                    <w:bottom w:val="none" w:sz="0" w:space="0" w:color="auto"/>
                    <w:right w:val="none" w:sz="0" w:space="0" w:color="auto"/>
                  </w:divBdr>
                  <w:divsChild>
                    <w:div w:id="499005813">
                      <w:marLeft w:val="300"/>
                      <w:marRight w:val="0"/>
                      <w:marTop w:val="0"/>
                      <w:marBottom w:val="0"/>
                      <w:divBdr>
                        <w:top w:val="none" w:sz="0" w:space="0" w:color="auto"/>
                        <w:left w:val="none" w:sz="0" w:space="0" w:color="auto"/>
                        <w:bottom w:val="none" w:sz="0" w:space="0" w:color="auto"/>
                        <w:right w:val="none" w:sz="0" w:space="0" w:color="auto"/>
                      </w:divBdr>
                      <w:divsChild>
                        <w:div w:id="2097552837">
                          <w:marLeft w:val="0"/>
                          <w:marRight w:val="0"/>
                          <w:marTop w:val="0"/>
                          <w:marBottom w:val="0"/>
                          <w:divBdr>
                            <w:top w:val="none" w:sz="0" w:space="0" w:color="auto"/>
                            <w:left w:val="none" w:sz="0" w:space="0" w:color="auto"/>
                            <w:bottom w:val="none" w:sz="0" w:space="0" w:color="auto"/>
                            <w:right w:val="none" w:sz="0" w:space="0" w:color="auto"/>
                          </w:divBdr>
                          <w:divsChild>
                            <w:div w:id="441264384">
                              <w:marLeft w:val="0"/>
                              <w:marRight w:val="0"/>
                              <w:marTop w:val="0"/>
                              <w:marBottom w:val="0"/>
                              <w:divBdr>
                                <w:top w:val="none" w:sz="0" w:space="0" w:color="auto"/>
                                <w:left w:val="none" w:sz="0" w:space="0" w:color="auto"/>
                                <w:bottom w:val="none" w:sz="0" w:space="0" w:color="auto"/>
                                <w:right w:val="none" w:sz="0" w:space="0" w:color="auto"/>
                              </w:divBdr>
                              <w:divsChild>
                                <w:div w:id="2069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524211">
      <w:bodyDiv w:val="1"/>
      <w:marLeft w:val="0"/>
      <w:marRight w:val="0"/>
      <w:marTop w:val="0"/>
      <w:marBottom w:val="0"/>
      <w:divBdr>
        <w:top w:val="none" w:sz="0" w:space="0" w:color="auto"/>
        <w:left w:val="none" w:sz="0" w:space="0" w:color="auto"/>
        <w:bottom w:val="none" w:sz="0" w:space="0" w:color="auto"/>
        <w:right w:val="none" w:sz="0" w:space="0" w:color="auto"/>
      </w:divBdr>
      <w:divsChild>
        <w:div w:id="1990865769">
          <w:marLeft w:val="547"/>
          <w:marRight w:val="0"/>
          <w:marTop w:val="0"/>
          <w:marBottom w:val="240"/>
          <w:divBdr>
            <w:top w:val="none" w:sz="0" w:space="0" w:color="auto"/>
            <w:left w:val="none" w:sz="0" w:space="0" w:color="auto"/>
            <w:bottom w:val="none" w:sz="0" w:space="0" w:color="auto"/>
            <w:right w:val="none" w:sz="0" w:space="0" w:color="auto"/>
          </w:divBdr>
        </w:div>
        <w:div w:id="1713112613">
          <w:marLeft w:val="547"/>
          <w:marRight w:val="0"/>
          <w:marTop w:val="0"/>
          <w:marBottom w:val="240"/>
          <w:divBdr>
            <w:top w:val="none" w:sz="0" w:space="0" w:color="auto"/>
            <w:left w:val="none" w:sz="0" w:space="0" w:color="auto"/>
            <w:bottom w:val="none" w:sz="0" w:space="0" w:color="auto"/>
            <w:right w:val="none" w:sz="0" w:space="0" w:color="auto"/>
          </w:divBdr>
        </w:div>
        <w:div w:id="1072385177">
          <w:marLeft w:val="547"/>
          <w:marRight w:val="0"/>
          <w:marTop w:val="0"/>
          <w:marBottom w:val="240"/>
          <w:divBdr>
            <w:top w:val="none" w:sz="0" w:space="0" w:color="auto"/>
            <w:left w:val="none" w:sz="0" w:space="0" w:color="auto"/>
            <w:bottom w:val="none" w:sz="0" w:space="0" w:color="auto"/>
            <w:right w:val="none" w:sz="0" w:space="0" w:color="auto"/>
          </w:divBdr>
        </w:div>
        <w:div w:id="843472537">
          <w:marLeft w:val="547"/>
          <w:marRight w:val="0"/>
          <w:marTop w:val="0"/>
          <w:marBottom w:val="240"/>
          <w:divBdr>
            <w:top w:val="none" w:sz="0" w:space="0" w:color="auto"/>
            <w:left w:val="none" w:sz="0" w:space="0" w:color="auto"/>
            <w:bottom w:val="none" w:sz="0" w:space="0" w:color="auto"/>
            <w:right w:val="none" w:sz="0" w:space="0" w:color="auto"/>
          </w:divBdr>
        </w:div>
        <w:div w:id="605042447">
          <w:marLeft w:val="1166"/>
          <w:marRight w:val="0"/>
          <w:marTop w:val="0"/>
          <w:marBottom w:val="0"/>
          <w:divBdr>
            <w:top w:val="none" w:sz="0" w:space="0" w:color="auto"/>
            <w:left w:val="none" w:sz="0" w:space="0" w:color="auto"/>
            <w:bottom w:val="none" w:sz="0" w:space="0" w:color="auto"/>
            <w:right w:val="none" w:sz="0" w:space="0" w:color="auto"/>
          </w:divBdr>
        </w:div>
        <w:div w:id="895552491">
          <w:marLeft w:val="1166"/>
          <w:marRight w:val="0"/>
          <w:marTop w:val="0"/>
          <w:marBottom w:val="0"/>
          <w:divBdr>
            <w:top w:val="none" w:sz="0" w:space="0" w:color="auto"/>
            <w:left w:val="none" w:sz="0" w:space="0" w:color="auto"/>
            <w:bottom w:val="none" w:sz="0" w:space="0" w:color="auto"/>
            <w:right w:val="none" w:sz="0" w:space="0" w:color="auto"/>
          </w:divBdr>
        </w:div>
        <w:div w:id="717164925">
          <w:marLeft w:val="1166"/>
          <w:marRight w:val="0"/>
          <w:marTop w:val="0"/>
          <w:marBottom w:val="0"/>
          <w:divBdr>
            <w:top w:val="none" w:sz="0" w:space="0" w:color="auto"/>
            <w:left w:val="none" w:sz="0" w:space="0" w:color="auto"/>
            <w:bottom w:val="none" w:sz="0" w:space="0" w:color="auto"/>
            <w:right w:val="none" w:sz="0" w:space="0" w:color="auto"/>
          </w:divBdr>
        </w:div>
        <w:div w:id="975838056">
          <w:marLeft w:val="1166"/>
          <w:marRight w:val="0"/>
          <w:marTop w:val="0"/>
          <w:marBottom w:val="0"/>
          <w:divBdr>
            <w:top w:val="none" w:sz="0" w:space="0" w:color="auto"/>
            <w:left w:val="none" w:sz="0" w:space="0" w:color="auto"/>
            <w:bottom w:val="none" w:sz="0" w:space="0" w:color="auto"/>
            <w:right w:val="none" w:sz="0" w:space="0" w:color="auto"/>
          </w:divBdr>
        </w:div>
        <w:div w:id="690185420">
          <w:marLeft w:val="1166"/>
          <w:marRight w:val="0"/>
          <w:marTop w:val="0"/>
          <w:marBottom w:val="0"/>
          <w:divBdr>
            <w:top w:val="none" w:sz="0" w:space="0" w:color="auto"/>
            <w:left w:val="none" w:sz="0" w:space="0" w:color="auto"/>
            <w:bottom w:val="none" w:sz="0" w:space="0" w:color="auto"/>
            <w:right w:val="none" w:sz="0" w:space="0" w:color="auto"/>
          </w:divBdr>
        </w:div>
        <w:div w:id="1927377091">
          <w:marLeft w:val="1166"/>
          <w:marRight w:val="0"/>
          <w:marTop w:val="0"/>
          <w:marBottom w:val="0"/>
          <w:divBdr>
            <w:top w:val="none" w:sz="0" w:space="0" w:color="auto"/>
            <w:left w:val="none" w:sz="0" w:space="0" w:color="auto"/>
            <w:bottom w:val="none" w:sz="0" w:space="0" w:color="auto"/>
            <w:right w:val="none" w:sz="0" w:space="0" w:color="auto"/>
          </w:divBdr>
        </w:div>
      </w:divsChild>
    </w:div>
    <w:div w:id="594096959">
      <w:bodyDiv w:val="1"/>
      <w:marLeft w:val="0"/>
      <w:marRight w:val="0"/>
      <w:marTop w:val="0"/>
      <w:marBottom w:val="0"/>
      <w:divBdr>
        <w:top w:val="none" w:sz="0" w:space="0" w:color="auto"/>
        <w:left w:val="none" w:sz="0" w:space="0" w:color="auto"/>
        <w:bottom w:val="none" w:sz="0" w:space="0" w:color="auto"/>
        <w:right w:val="none" w:sz="0" w:space="0" w:color="auto"/>
      </w:divBdr>
    </w:div>
    <w:div w:id="752311757">
      <w:bodyDiv w:val="1"/>
      <w:marLeft w:val="0"/>
      <w:marRight w:val="0"/>
      <w:marTop w:val="0"/>
      <w:marBottom w:val="0"/>
      <w:divBdr>
        <w:top w:val="none" w:sz="0" w:space="0" w:color="auto"/>
        <w:left w:val="none" w:sz="0" w:space="0" w:color="auto"/>
        <w:bottom w:val="none" w:sz="0" w:space="0" w:color="auto"/>
        <w:right w:val="none" w:sz="0" w:space="0" w:color="auto"/>
      </w:divBdr>
    </w:div>
    <w:div w:id="805048442">
      <w:bodyDiv w:val="1"/>
      <w:marLeft w:val="0"/>
      <w:marRight w:val="0"/>
      <w:marTop w:val="0"/>
      <w:marBottom w:val="0"/>
      <w:divBdr>
        <w:top w:val="none" w:sz="0" w:space="0" w:color="auto"/>
        <w:left w:val="none" w:sz="0" w:space="0" w:color="auto"/>
        <w:bottom w:val="none" w:sz="0" w:space="0" w:color="auto"/>
        <w:right w:val="none" w:sz="0" w:space="0" w:color="auto"/>
      </w:divBdr>
      <w:divsChild>
        <w:div w:id="577787437">
          <w:marLeft w:val="0"/>
          <w:marRight w:val="0"/>
          <w:marTop w:val="0"/>
          <w:marBottom w:val="0"/>
          <w:divBdr>
            <w:top w:val="none" w:sz="0" w:space="0" w:color="auto"/>
            <w:left w:val="none" w:sz="0" w:space="0" w:color="auto"/>
            <w:bottom w:val="none" w:sz="0" w:space="0" w:color="auto"/>
            <w:right w:val="none" w:sz="0" w:space="0" w:color="auto"/>
          </w:divBdr>
          <w:divsChild>
            <w:div w:id="869604932">
              <w:marLeft w:val="0"/>
              <w:marRight w:val="0"/>
              <w:marTop w:val="0"/>
              <w:marBottom w:val="0"/>
              <w:divBdr>
                <w:top w:val="single" w:sz="2" w:space="8" w:color="1F1A17"/>
                <w:left w:val="single" w:sz="6" w:space="13" w:color="1F1A17"/>
                <w:bottom w:val="single" w:sz="6" w:space="31" w:color="1F1A17"/>
                <w:right w:val="single" w:sz="6" w:space="13" w:color="1F1A17"/>
              </w:divBdr>
              <w:divsChild>
                <w:div w:id="948391469">
                  <w:marLeft w:val="0"/>
                  <w:marRight w:val="0"/>
                  <w:marTop w:val="0"/>
                  <w:marBottom w:val="0"/>
                  <w:divBdr>
                    <w:top w:val="none" w:sz="0" w:space="0" w:color="auto"/>
                    <w:left w:val="none" w:sz="0" w:space="0" w:color="auto"/>
                    <w:bottom w:val="none" w:sz="0" w:space="0" w:color="auto"/>
                    <w:right w:val="none" w:sz="0" w:space="0" w:color="auto"/>
                  </w:divBdr>
                  <w:divsChild>
                    <w:div w:id="265315073">
                      <w:marLeft w:val="0"/>
                      <w:marRight w:val="0"/>
                      <w:marTop w:val="0"/>
                      <w:marBottom w:val="0"/>
                      <w:divBdr>
                        <w:top w:val="none" w:sz="0" w:space="0" w:color="auto"/>
                        <w:left w:val="none" w:sz="0" w:space="0" w:color="auto"/>
                        <w:bottom w:val="none" w:sz="0" w:space="0" w:color="auto"/>
                        <w:right w:val="none" w:sz="0" w:space="0" w:color="auto"/>
                      </w:divBdr>
                      <w:divsChild>
                        <w:div w:id="19727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5253">
      <w:bodyDiv w:val="1"/>
      <w:marLeft w:val="0"/>
      <w:marRight w:val="0"/>
      <w:marTop w:val="0"/>
      <w:marBottom w:val="0"/>
      <w:divBdr>
        <w:top w:val="none" w:sz="0" w:space="0" w:color="auto"/>
        <w:left w:val="none" w:sz="0" w:space="0" w:color="auto"/>
        <w:bottom w:val="none" w:sz="0" w:space="0" w:color="auto"/>
        <w:right w:val="none" w:sz="0" w:space="0" w:color="auto"/>
      </w:divBdr>
      <w:divsChild>
        <w:div w:id="327178291">
          <w:marLeft w:val="0"/>
          <w:marRight w:val="0"/>
          <w:marTop w:val="450"/>
          <w:marBottom w:val="900"/>
          <w:divBdr>
            <w:top w:val="none" w:sz="0" w:space="0" w:color="auto"/>
            <w:left w:val="none" w:sz="0" w:space="0" w:color="auto"/>
            <w:bottom w:val="none" w:sz="0" w:space="0" w:color="auto"/>
            <w:right w:val="none" w:sz="0" w:space="0" w:color="auto"/>
          </w:divBdr>
          <w:divsChild>
            <w:div w:id="1595625101">
              <w:marLeft w:val="0"/>
              <w:marRight w:val="0"/>
              <w:marTop w:val="0"/>
              <w:marBottom w:val="0"/>
              <w:divBdr>
                <w:top w:val="none" w:sz="0" w:space="0" w:color="auto"/>
                <w:left w:val="none" w:sz="0" w:space="0" w:color="auto"/>
                <w:bottom w:val="none" w:sz="0" w:space="0" w:color="auto"/>
                <w:right w:val="none" w:sz="0" w:space="0" w:color="auto"/>
              </w:divBdr>
              <w:divsChild>
                <w:div w:id="636498563">
                  <w:marLeft w:val="0"/>
                  <w:marRight w:val="0"/>
                  <w:marTop w:val="0"/>
                  <w:marBottom w:val="0"/>
                  <w:divBdr>
                    <w:top w:val="none" w:sz="0" w:space="0" w:color="auto"/>
                    <w:left w:val="none" w:sz="0" w:space="0" w:color="auto"/>
                    <w:bottom w:val="none" w:sz="0" w:space="0" w:color="auto"/>
                    <w:right w:val="none" w:sz="0" w:space="0" w:color="auto"/>
                  </w:divBdr>
                  <w:divsChild>
                    <w:div w:id="238910387">
                      <w:marLeft w:val="300"/>
                      <w:marRight w:val="0"/>
                      <w:marTop w:val="0"/>
                      <w:marBottom w:val="0"/>
                      <w:divBdr>
                        <w:top w:val="none" w:sz="0" w:space="0" w:color="auto"/>
                        <w:left w:val="none" w:sz="0" w:space="0" w:color="auto"/>
                        <w:bottom w:val="none" w:sz="0" w:space="0" w:color="auto"/>
                        <w:right w:val="none" w:sz="0" w:space="0" w:color="auto"/>
                      </w:divBdr>
                      <w:divsChild>
                        <w:div w:id="1392343212">
                          <w:marLeft w:val="0"/>
                          <w:marRight w:val="0"/>
                          <w:marTop w:val="0"/>
                          <w:marBottom w:val="0"/>
                          <w:divBdr>
                            <w:top w:val="none" w:sz="0" w:space="0" w:color="auto"/>
                            <w:left w:val="none" w:sz="0" w:space="0" w:color="auto"/>
                            <w:bottom w:val="none" w:sz="0" w:space="0" w:color="auto"/>
                            <w:right w:val="none" w:sz="0" w:space="0" w:color="auto"/>
                          </w:divBdr>
                          <w:divsChild>
                            <w:div w:id="980960616">
                              <w:marLeft w:val="0"/>
                              <w:marRight w:val="0"/>
                              <w:marTop w:val="0"/>
                              <w:marBottom w:val="0"/>
                              <w:divBdr>
                                <w:top w:val="none" w:sz="0" w:space="0" w:color="auto"/>
                                <w:left w:val="none" w:sz="0" w:space="0" w:color="auto"/>
                                <w:bottom w:val="none" w:sz="0" w:space="0" w:color="auto"/>
                                <w:right w:val="none" w:sz="0" w:space="0" w:color="auto"/>
                              </w:divBdr>
                              <w:divsChild>
                                <w:div w:id="81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305242">
      <w:bodyDiv w:val="1"/>
      <w:marLeft w:val="0"/>
      <w:marRight w:val="0"/>
      <w:marTop w:val="0"/>
      <w:marBottom w:val="0"/>
      <w:divBdr>
        <w:top w:val="none" w:sz="0" w:space="0" w:color="auto"/>
        <w:left w:val="none" w:sz="0" w:space="0" w:color="auto"/>
        <w:bottom w:val="none" w:sz="0" w:space="0" w:color="auto"/>
        <w:right w:val="none" w:sz="0" w:space="0" w:color="auto"/>
      </w:divBdr>
    </w:div>
    <w:div w:id="1261990900">
      <w:bodyDiv w:val="1"/>
      <w:marLeft w:val="0"/>
      <w:marRight w:val="0"/>
      <w:marTop w:val="0"/>
      <w:marBottom w:val="0"/>
      <w:divBdr>
        <w:top w:val="none" w:sz="0" w:space="0" w:color="auto"/>
        <w:left w:val="none" w:sz="0" w:space="0" w:color="auto"/>
        <w:bottom w:val="none" w:sz="0" w:space="0" w:color="auto"/>
        <w:right w:val="none" w:sz="0" w:space="0" w:color="auto"/>
      </w:divBdr>
    </w:div>
    <w:div w:id="1407529385">
      <w:bodyDiv w:val="1"/>
      <w:marLeft w:val="0"/>
      <w:marRight w:val="0"/>
      <w:marTop w:val="0"/>
      <w:marBottom w:val="0"/>
      <w:divBdr>
        <w:top w:val="none" w:sz="0" w:space="0" w:color="auto"/>
        <w:left w:val="none" w:sz="0" w:space="0" w:color="auto"/>
        <w:bottom w:val="none" w:sz="0" w:space="0" w:color="auto"/>
        <w:right w:val="none" w:sz="0" w:space="0" w:color="auto"/>
      </w:divBdr>
      <w:divsChild>
        <w:div w:id="582951293">
          <w:marLeft w:val="0"/>
          <w:marRight w:val="0"/>
          <w:marTop w:val="0"/>
          <w:marBottom w:val="0"/>
          <w:divBdr>
            <w:top w:val="none" w:sz="0" w:space="0" w:color="auto"/>
            <w:left w:val="none" w:sz="0" w:space="0" w:color="auto"/>
            <w:bottom w:val="none" w:sz="0" w:space="0" w:color="auto"/>
            <w:right w:val="none" w:sz="0" w:space="0" w:color="auto"/>
          </w:divBdr>
          <w:divsChild>
            <w:div w:id="62878082">
              <w:marLeft w:val="0"/>
              <w:marRight w:val="0"/>
              <w:marTop w:val="0"/>
              <w:marBottom w:val="0"/>
              <w:divBdr>
                <w:top w:val="single" w:sz="2" w:space="8" w:color="1F1A17"/>
                <w:left w:val="single" w:sz="6" w:space="13" w:color="1F1A17"/>
                <w:bottom w:val="single" w:sz="6" w:space="31" w:color="1F1A17"/>
                <w:right w:val="single" w:sz="6" w:space="13" w:color="1F1A17"/>
              </w:divBdr>
              <w:divsChild>
                <w:div w:id="526914535">
                  <w:marLeft w:val="0"/>
                  <w:marRight w:val="0"/>
                  <w:marTop w:val="0"/>
                  <w:marBottom w:val="0"/>
                  <w:divBdr>
                    <w:top w:val="none" w:sz="0" w:space="0" w:color="auto"/>
                    <w:left w:val="none" w:sz="0" w:space="0" w:color="auto"/>
                    <w:bottom w:val="none" w:sz="0" w:space="0" w:color="auto"/>
                    <w:right w:val="none" w:sz="0" w:space="0" w:color="auto"/>
                  </w:divBdr>
                  <w:divsChild>
                    <w:div w:id="1814443936">
                      <w:marLeft w:val="0"/>
                      <w:marRight w:val="0"/>
                      <w:marTop w:val="0"/>
                      <w:marBottom w:val="0"/>
                      <w:divBdr>
                        <w:top w:val="none" w:sz="0" w:space="0" w:color="auto"/>
                        <w:left w:val="none" w:sz="0" w:space="0" w:color="auto"/>
                        <w:bottom w:val="none" w:sz="0" w:space="0" w:color="auto"/>
                        <w:right w:val="none" w:sz="0" w:space="0" w:color="auto"/>
                      </w:divBdr>
                      <w:divsChild>
                        <w:div w:id="1816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615475">
      <w:bodyDiv w:val="1"/>
      <w:marLeft w:val="0"/>
      <w:marRight w:val="0"/>
      <w:marTop w:val="0"/>
      <w:marBottom w:val="0"/>
      <w:divBdr>
        <w:top w:val="none" w:sz="0" w:space="0" w:color="auto"/>
        <w:left w:val="none" w:sz="0" w:space="0" w:color="auto"/>
        <w:bottom w:val="none" w:sz="0" w:space="0" w:color="auto"/>
        <w:right w:val="none" w:sz="0" w:space="0" w:color="auto"/>
      </w:divBdr>
    </w:div>
    <w:div w:id="20183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ocpo.treasury.gov.za/About_Us/Functional_Units/Pages/Strategic-Procurement.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BC4EFDD3AE043BE2D56F908A418CE" ma:contentTypeVersion="0" ma:contentTypeDescription="Create a new document." ma:contentTypeScope="" ma:versionID="37426888d62ce07ca625c24dffddd995">
  <xsd:schema xmlns:xsd="http://www.w3.org/2001/XMLSchema" xmlns:xs="http://www.w3.org/2001/XMLSchema" xmlns:p="http://schemas.microsoft.com/office/2006/metadata/properties" xmlns:ns2="f8799524-a42d-49f8-ba48-1cb487ac1ef9" targetNamespace="http://schemas.microsoft.com/office/2006/metadata/properties" ma:root="true" ma:fieldsID="edd2b698a36b3efc1027e6f58470aecc" ns2:_="">
    <xsd:import namespace="f8799524-a42d-49f8-ba48-1cb487ac1ef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99524-a42d-49f8-ba48-1cb487ac1e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799524-a42d-49f8-ba48-1cb487ac1ef9">774X6YNWCY6Z-1157834876-8</_dlc_DocId>
    <_dlc_DocIdUrl xmlns="f8799524-a42d-49f8-ba48-1cb487ac1ef9">
      <Url>http://pfmportal.treasury.gov.za/sites/strategicsourcing/_layouts/15/DocIdRedir.aspx?ID=774X6YNWCY6Z-1157834876-8</Url>
      <Description>774X6YNWCY6Z-1157834876-8</Description>
    </_dlc_DocIdUrl>
  </documentManagement>
</p:properties>
</file>

<file path=customXml/itemProps1.xml><?xml version="1.0" encoding="utf-8"?>
<ds:datastoreItem xmlns:ds="http://schemas.openxmlformats.org/officeDocument/2006/customXml" ds:itemID="{2E14ADA2-2C08-4429-88B2-DB8F6F6BFCA2}"/>
</file>

<file path=customXml/itemProps2.xml><?xml version="1.0" encoding="utf-8"?>
<ds:datastoreItem xmlns:ds="http://schemas.openxmlformats.org/officeDocument/2006/customXml" ds:itemID="{62759393-0D8D-4393-913D-9A75F0B05B5D}"/>
</file>

<file path=customXml/itemProps3.xml><?xml version="1.0" encoding="utf-8"?>
<ds:datastoreItem xmlns:ds="http://schemas.openxmlformats.org/officeDocument/2006/customXml" ds:itemID="{8D9D1293-8687-4A1E-906D-E2DF857EEECB}"/>
</file>

<file path=customXml/itemProps4.xml><?xml version="1.0" encoding="utf-8"?>
<ds:datastoreItem xmlns:ds="http://schemas.openxmlformats.org/officeDocument/2006/customXml" ds:itemID="{15070648-F0A3-4894-AE41-CC81434F9F0B}"/>
</file>

<file path=docProps/app.xml><?xml version="1.0" encoding="utf-8"?>
<Properties xmlns="http://schemas.openxmlformats.org/officeDocument/2006/extended-properties" xmlns:vt="http://schemas.openxmlformats.org/officeDocument/2006/docPropsVTypes">
  <Template>Normal</Template>
  <TotalTime>160</TotalTime>
  <Pages>1</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SPEND ANALYSIS</vt:lpstr>
    </vt:vector>
  </TitlesOfParts>
  <Company>SPEND ANALYSIS</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 ANALYSIS</dc:title>
  <dc:creator>Kenneth Pillay</dc:creator>
  <cp:lastModifiedBy>Estelle Setan</cp:lastModifiedBy>
  <cp:revision>10</cp:revision>
  <cp:lastPrinted>2016-05-03T08:21:00Z</cp:lastPrinted>
  <dcterms:created xsi:type="dcterms:W3CDTF">2015-03-18T11:44:00Z</dcterms:created>
  <dcterms:modified xsi:type="dcterms:W3CDTF">2016-05-03T08:21:00Z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0x01010085DBC4EFDD3AE043BE2D56F908A418CE</vt:lpwstr>
  </property>
  <property fmtid="{D5CDD505-2E9C-101B-9397-08002B2CF9AE}" pid="3" name="_dlc_DocIdItemGuid">
    <vt:lpwstr>b4d1e614-2aef-4de9-86e3-f32f2453ae9d</vt:lpwstr>
  </property>
</Properties>
</file>